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526077">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18"/>
          <w:highlight w:val="none"/>
        </w:rPr>
        <w:t> </w:t>
      </w:r>
    </w:p>
    <w:p w14:paraId="7F46B5B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auto"/>
          <w:sz w:val="84"/>
          <w:highlight w:val="none"/>
        </w:rPr>
      </w:pPr>
    </w:p>
    <w:p w14:paraId="2846478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cs="宋体"/>
          <w:b/>
          <w:color w:val="auto"/>
          <w:sz w:val="84"/>
          <w:highlight w:val="none"/>
          <w:lang w:val="en-US" w:eastAsia="zh-CN"/>
        </w:rPr>
        <w:t>赣榆区</w:t>
      </w:r>
      <w:r>
        <w:rPr>
          <w:rFonts w:hint="eastAsia" w:ascii="宋体" w:hAnsi="宋体" w:eastAsia="宋体" w:cs="宋体"/>
          <w:b/>
          <w:color w:val="auto"/>
          <w:sz w:val="84"/>
          <w:highlight w:val="none"/>
        </w:rPr>
        <w:t>政府采购</w:t>
      </w:r>
    </w:p>
    <w:p w14:paraId="554BD67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48"/>
          <w:highlight w:val="none"/>
        </w:rPr>
        <w:t> </w:t>
      </w:r>
    </w:p>
    <w:p w14:paraId="6E344E2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48"/>
          <w:highlight w:val="none"/>
        </w:rPr>
        <w:t> </w:t>
      </w:r>
    </w:p>
    <w:p w14:paraId="5946B8D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84"/>
          <w:highlight w:val="none"/>
        </w:rPr>
        <w:t>竞争性磋商文件</w:t>
      </w:r>
    </w:p>
    <w:p w14:paraId="488B6BF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7CB8A71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607485A1">
      <w:pPr>
        <w:spacing w:line="720" w:lineRule="exact"/>
        <w:ind w:left="2561" w:leftChars="434" w:hanging="1606" w:hangingChars="500"/>
        <w:jc w:val="both"/>
        <w:rPr>
          <w:rFonts w:hint="eastAsia" w:ascii="宋体" w:hAnsi="宋体" w:eastAsia="宋体" w:cs="宋体"/>
          <w:b/>
          <w:bCs/>
          <w:color w:val="auto"/>
          <w:sz w:val="32"/>
          <w:szCs w:val="20"/>
          <w:highlight w:val="none"/>
          <w:lang w:val="en-US" w:eastAsia="zh-CN" w:bidi="ar-SA"/>
        </w:rPr>
      </w:pPr>
      <w:r>
        <w:rPr>
          <w:rFonts w:hint="eastAsia" w:ascii="宋体" w:hAnsi="宋体" w:eastAsia="宋体" w:cs="宋体"/>
          <w:b/>
          <w:bCs/>
          <w:color w:val="auto"/>
          <w:sz w:val="32"/>
          <w:szCs w:val="20"/>
          <w:highlight w:val="none"/>
          <w:lang w:val="en-US" w:eastAsia="zh-CN" w:bidi="ar-SA"/>
        </w:rPr>
        <w:t>项目名称：</w:t>
      </w:r>
      <w:r>
        <w:rPr>
          <w:rFonts w:hint="eastAsia" w:cs="宋体"/>
          <w:b/>
          <w:bCs/>
          <w:color w:val="auto"/>
          <w:sz w:val="32"/>
          <w:szCs w:val="20"/>
          <w:highlight w:val="none"/>
          <w:lang w:val="en-US" w:eastAsia="zh-CN" w:bidi="ar-SA"/>
        </w:rPr>
        <w:t>赣榆区墩尚镇刘欢线（刘湾中心十字路-后舵桥）改建工程（政府采购工程）（专门面向中小企业）</w:t>
      </w:r>
    </w:p>
    <w:p w14:paraId="04D5F210">
      <w:pPr>
        <w:spacing w:line="720" w:lineRule="exact"/>
        <w:ind w:firstLine="332"/>
        <w:rPr>
          <w:rFonts w:hint="eastAsia" w:ascii="宋体" w:hAnsi="宋体" w:eastAsia="宋体" w:cs="宋体"/>
          <w:b/>
          <w:bCs/>
          <w:color w:val="auto"/>
          <w:spacing w:val="16"/>
          <w:sz w:val="30"/>
          <w:szCs w:val="30"/>
          <w:highlight w:val="none"/>
        </w:rPr>
      </w:pPr>
    </w:p>
    <w:p w14:paraId="4CC3FFD4">
      <w:pPr>
        <w:spacing w:line="720" w:lineRule="exact"/>
        <w:ind w:firstLine="1060"/>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项目</w:t>
      </w:r>
      <w:r>
        <w:rPr>
          <w:rFonts w:hint="eastAsia" w:ascii="宋体" w:hAnsi="宋体" w:eastAsia="宋体" w:cs="宋体"/>
          <w:b/>
          <w:bCs/>
          <w:color w:val="auto"/>
          <w:spacing w:val="16"/>
          <w:sz w:val="32"/>
          <w:szCs w:val="32"/>
          <w:highlight w:val="none"/>
        </w:rPr>
        <w:t>编号：JSZC-320707-SHCG-C2025-001</w:t>
      </w:r>
      <w:r>
        <w:rPr>
          <w:rFonts w:hint="eastAsia" w:cs="宋体"/>
          <w:b/>
          <w:bCs/>
          <w:color w:val="auto"/>
          <w:spacing w:val="16"/>
          <w:sz w:val="32"/>
          <w:szCs w:val="32"/>
          <w:highlight w:val="none"/>
          <w:lang w:val="en-US" w:eastAsia="zh-CN"/>
        </w:rPr>
        <w:t>5</w:t>
      </w:r>
    </w:p>
    <w:p w14:paraId="297284F4">
      <w:pPr>
        <w:pStyle w:val="21"/>
        <w:rPr>
          <w:rFonts w:hint="eastAsia" w:ascii="宋体" w:hAnsi="宋体" w:eastAsia="宋体" w:cs="宋体"/>
          <w:b/>
          <w:bCs/>
          <w:color w:val="auto"/>
          <w:sz w:val="36"/>
          <w:highlight w:val="none"/>
          <w:u w:val="single"/>
        </w:rPr>
      </w:pPr>
    </w:p>
    <w:p w14:paraId="25E7E7A4">
      <w:pPr>
        <w:pStyle w:val="21"/>
        <w:spacing w:line="360" w:lineRule="auto"/>
        <w:rPr>
          <w:rFonts w:cs="宋体" w:asciiTheme="majorEastAsia" w:hAnsiTheme="majorEastAsia" w:eastAsiaTheme="majorEastAsia"/>
          <w:b/>
          <w:bCs/>
          <w:sz w:val="36"/>
          <w:u w:val="single"/>
        </w:rPr>
      </w:pPr>
      <w:r>
        <w:rPr>
          <w:rFonts w:hint="eastAsia" w:cs="宋体" w:asciiTheme="majorEastAsia" w:hAnsiTheme="majorEastAsia" w:eastAsiaTheme="majorEastAsia"/>
          <w:b/>
          <w:bCs/>
          <w:sz w:val="36"/>
          <w:u w:val="single"/>
        </w:rPr>
        <w:t xml:space="preserve">                                                    </w:t>
      </w:r>
    </w:p>
    <w:p w14:paraId="37F0D9DF">
      <w:pPr>
        <w:pStyle w:val="21"/>
        <w:ind w:firstLine="304"/>
        <w:rPr>
          <w:rFonts w:hint="eastAsia" w:ascii="宋体" w:hAnsi="宋体" w:eastAsia="宋体" w:cs="宋体"/>
          <w:b/>
          <w:bCs/>
          <w:color w:val="auto"/>
          <w:sz w:val="32"/>
          <w:highlight w:val="none"/>
        </w:rPr>
      </w:pPr>
    </w:p>
    <w:p w14:paraId="676D2609">
      <w:pPr>
        <w:pStyle w:val="21"/>
        <w:ind w:firstLine="1651" w:firstLineChars="514"/>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   购   人：</w:t>
      </w:r>
      <w:r>
        <w:rPr>
          <w:rFonts w:hint="eastAsia" w:hAnsi="宋体" w:cs="宋体"/>
          <w:b/>
          <w:bCs/>
          <w:color w:val="auto"/>
          <w:sz w:val="32"/>
          <w:highlight w:val="none"/>
          <w:lang w:eastAsia="zh-CN"/>
        </w:rPr>
        <w:t>赣榆区墩尚镇人民政府</w:t>
      </w:r>
    </w:p>
    <w:p w14:paraId="66C892C5">
      <w:pPr>
        <w:pStyle w:val="21"/>
        <w:rPr>
          <w:rFonts w:hint="eastAsia" w:ascii="宋体" w:hAnsi="宋体" w:eastAsia="宋体" w:cs="宋体"/>
          <w:b/>
          <w:bCs/>
          <w:color w:val="auto"/>
          <w:sz w:val="32"/>
          <w:highlight w:val="none"/>
        </w:rPr>
      </w:pPr>
    </w:p>
    <w:p w14:paraId="7810EF3A">
      <w:pPr>
        <w:pStyle w:val="21"/>
        <w:ind w:firstLine="1651" w:firstLineChars="514"/>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采购代理机构：</w:t>
      </w:r>
      <w:r>
        <w:rPr>
          <w:rFonts w:hint="eastAsia" w:hAnsi="宋体" w:cs="宋体"/>
          <w:b/>
          <w:bCs/>
          <w:color w:val="auto"/>
          <w:sz w:val="32"/>
          <w:szCs w:val="24"/>
          <w:highlight w:val="none"/>
          <w:lang w:eastAsia="zh-CN"/>
        </w:rPr>
        <w:t>深圳市合创建设工程顾问有限公司</w:t>
      </w:r>
    </w:p>
    <w:p w14:paraId="360C42C6">
      <w:pPr>
        <w:spacing w:line="480" w:lineRule="auto"/>
        <w:jc w:val="center"/>
        <w:outlineLvl w:val="0"/>
        <w:rPr>
          <w:rFonts w:hint="eastAsia" w:ascii="宋体" w:hAnsi="宋体" w:eastAsia="宋体" w:cs="宋体"/>
          <w:color w:val="auto"/>
          <w:sz w:val="36"/>
          <w:szCs w:val="48"/>
          <w:highlight w:val="none"/>
        </w:rPr>
      </w:pPr>
    </w:p>
    <w:p w14:paraId="68E73ECE">
      <w:pPr>
        <w:pStyle w:val="21"/>
        <w:ind w:firstLine="3254"/>
        <w:jc w:val="both"/>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二〇二</w:t>
      </w:r>
      <w:r>
        <w:rPr>
          <w:rFonts w:hint="eastAsia" w:ascii="宋体" w:hAnsi="宋体" w:eastAsia="宋体" w:cs="宋体"/>
          <w:b/>
          <w:bCs/>
          <w:color w:val="auto"/>
          <w:sz w:val="32"/>
          <w:highlight w:val="none"/>
          <w:lang w:val="en-US" w:eastAsia="zh-CN"/>
        </w:rPr>
        <w:t>五</w:t>
      </w:r>
      <w:r>
        <w:rPr>
          <w:rFonts w:hint="eastAsia" w:ascii="宋体" w:hAnsi="宋体" w:eastAsia="宋体" w:cs="宋体"/>
          <w:b/>
          <w:bCs/>
          <w:color w:val="auto"/>
          <w:sz w:val="32"/>
          <w:highlight w:val="none"/>
          <w:lang w:eastAsia="zh-CN"/>
        </w:rPr>
        <w:t>年</w:t>
      </w:r>
      <w:r>
        <w:rPr>
          <w:rFonts w:hint="eastAsia" w:hAnsi="宋体" w:cs="宋体"/>
          <w:b/>
          <w:bCs/>
          <w:color w:val="auto"/>
          <w:sz w:val="32"/>
          <w:highlight w:val="none"/>
          <w:lang w:val="en-US" w:eastAsia="zh-CN"/>
        </w:rPr>
        <w:t>十一</w:t>
      </w:r>
      <w:r>
        <w:rPr>
          <w:rFonts w:hint="eastAsia" w:ascii="宋体" w:hAnsi="宋体" w:eastAsia="宋体" w:cs="宋体"/>
          <w:b/>
          <w:bCs/>
          <w:color w:val="auto"/>
          <w:sz w:val="32"/>
          <w:highlight w:val="none"/>
          <w:lang w:eastAsia="zh-CN"/>
        </w:rPr>
        <w:t>月</w:t>
      </w:r>
    </w:p>
    <w:p w14:paraId="3A18FA76">
      <w:pPr>
        <w:pStyle w:val="60"/>
        <w:ind w:firstLine="480"/>
        <w:rPr>
          <w:rFonts w:hint="eastAsia" w:ascii="宋体" w:hAnsi="宋体" w:eastAsia="宋体" w:cs="宋体"/>
          <w:color w:val="auto"/>
          <w:highlight w:val="none"/>
        </w:rPr>
        <w:sectPr>
          <w:footerReference r:id="rId3" w:type="default"/>
          <w:pgSz w:w="11907" w:h="16840"/>
          <w:pgMar w:top="1440" w:right="1080" w:bottom="1440" w:left="1080" w:header="720" w:footer="720" w:gutter="0"/>
          <w:pgNumType w:start="0"/>
          <w:cols w:space="720" w:num="1"/>
          <w:titlePg/>
          <w:docGrid w:linePitch="360" w:charSpace="0"/>
        </w:sectPr>
      </w:pPr>
    </w:p>
    <w:p w14:paraId="28A5DBF0">
      <w:pPr>
        <w:pStyle w:val="5"/>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44"/>
          <w:szCs w:val="44"/>
          <w:highlight w:val="none"/>
        </w:rPr>
        <w:t>目 录</w:t>
      </w:r>
    </w:p>
    <w:p w14:paraId="1FE9D46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第一章 竞争性磋商采购邀请</w:t>
      </w:r>
    </w:p>
    <w:p w14:paraId="4653F65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第二章  磋商须知</w:t>
      </w:r>
    </w:p>
    <w:p w14:paraId="29B8292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第三章  政府采购合同格式</w:t>
      </w:r>
    </w:p>
    <w:p w14:paraId="06A593C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第四章  项目需求</w:t>
      </w:r>
    </w:p>
    <w:p w14:paraId="52A65B7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第五章 工程量清单（另附）</w:t>
      </w:r>
    </w:p>
    <w:p w14:paraId="5CA29FB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第六章  磋商响应文件格式</w:t>
      </w:r>
    </w:p>
    <w:p w14:paraId="0AC049E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highlight w:val="none"/>
        </w:rPr>
      </w:pPr>
      <w:r>
        <w:rPr>
          <w:rFonts w:hint="eastAsia" w:ascii="宋体" w:hAnsi="宋体" w:eastAsia="宋体" w:cs="宋体"/>
          <w:color w:val="auto"/>
          <w:sz w:val="32"/>
          <w:highlight w:val="none"/>
        </w:rPr>
        <w:t>第七章  评审方法和评审标准 </w:t>
      </w:r>
    </w:p>
    <w:p w14:paraId="356B54B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3E64B16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6219C3D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64EBC35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4313D99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2A5757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91DA7C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5C43AA1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5B8CA6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9BAC18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674BC19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01861AA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08A372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738D35D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E4995C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390DED1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6891984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7C76F59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6F4DD2C">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54135D2C">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43809F31">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r>
        <w:rPr>
          <w:rFonts w:hint="eastAsia" w:ascii="宋体" w:hAnsi="宋体" w:eastAsia="宋体" w:cs="宋体"/>
          <w:b/>
          <w:color w:val="auto"/>
          <w:sz w:val="20"/>
          <w:highlight w:val="none"/>
        </w:rPr>
        <w:t> </w:t>
      </w:r>
    </w:p>
    <w:p w14:paraId="1993080A">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1AE77DED">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04347723">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3B0DE8CA">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4C398F8B">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50CC6BE3">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32"/>
          <w:highlight w:val="none"/>
        </w:rPr>
      </w:pPr>
      <w:r>
        <w:rPr>
          <w:rFonts w:hint="eastAsia" w:ascii="宋体" w:hAnsi="宋体" w:eastAsia="宋体" w:cs="宋体"/>
          <w:b/>
          <w:color w:val="auto"/>
          <w:sz w:val="20"/>
          <w:highlight w:val="none"/>
        </w:rPr>
        <w:t> </w:t>
      </w:r>
    </w:p>
    <w:p w14:paraId="44123D17">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14:paraId="606DA200">
      <w:pPr>
        <w:pStyle w:val="5"/>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第一</w:t>
      </w:r>
      <w:r>
        <w:rPr>
          <w:rFonts w:hint="eastAsia" w:ascii="宋体" w:hAnsi="宋体" w:eastAsia="宋体" w:cs="宋体"/>
          <w:b/>
          <w:color w:val="auto"/>
          <w:sz w:val="32"/>
          <w:highlight w:val="none"/>
          <w:lang w:val="en-US" w:eastAsia="zh-CN"/>
        </w:rPr>
        <w:t>章</w:t>
      </w:r>
      <w:r>
        <w:rPr>
          <w:rFonts w:hint="eastAsia" w:ascii="宋体" w:hAnsi="宋体" w:eastAsia="宋体" w:cs="宋体"/>
          <w:b/>
          <w:color w:val="auto"/>
          <w:sz w:val="32"/>
          <w:highlight w:val="none"/>
        </w:rPr>
        <w:t> 竞争性磋商采购邀请</w:t>
      </w:r>
    </w:p>
    <w:tbl>
      <w:tblPr>
        <w:tblStyle w:val="43"/>
        <w:tblW w:w="1002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022"/>
      </w:tblGrid>
      <w:tr w14:paraId="5F254C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50" w:hRule="atLeast"/>
        </w:trPr>
        <w:tc>
          <w:tcPr>
            <w:tcW w:w="1002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E57098">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0"/>
                <w:highlight w:val="none"/>
              </w:rPr>
              <w:t> </w:t>
            </w:r>
            <w:r>
              <w:rPr>
                <w:rFonts w:hint="eastAsia" w:ascii="宋体" w:hAnsi="宋体" w:eastAsia="宋体" w:cs="宋体"/>
                <w:color w:val="auto"/>
                <w:sz w:val="22"/>
                <w:highlight w:val="none"/>
              </w:rPr>
              <w:t>项目概况</w:t>
            </w:r>
          </w:p>
          <w:p w14:paraId="284DD676">
            <w:pPr>
              <w:pBdr>
                <w:top w:val="none" w:color="000000" w:sz="0" w:space="0"/>
                <w:left w:val="none" w:color="000000" w:sz="0" w:space="0"/>
                <w:bottom w:val="none" w:color="000000" w:sz="0" w:space="0"/>
                <w:right w:val="none" w:color="000000" w:sz="0" w:space="0"/>
              </w:pBdr>
              <w:spacing w:before="42" w:after="0" w:line="400" w:lineRule="atLeast"/>
              <w:ind w:left="108" w:right="108" w:firstLine="482"/>
              <w:jc w:val="both"/>
              <w:rPr>
                <w:rFonts w:hint="eastAsia" w:ascii="宋体" w:hAnsi="宋体" w:eastAsia="宋体" w:cs="宋体"/>
                <w:color w:val="auto"/>
                <w:highlight w:val="none"/>
              </w:rPr>
            </w:pPr>
            <w:r>
              <w:rPr>
                <w:rFonts w:hint="eastAsia" w:cs="宋体"/>
                <w:b/>
                <w:color w:val="auto"/>
                <w:sz w:val="22"/>
                <w:highlight w:val="none"/>
                <w:u w:val="single"/>
                <w:lang w:eastAsia="zh-CN"/>
              </w:rPr>
              <w:t>赣榆区墩尚镇刘欢线（刘湾中心十字路-后舵桥）改建工程（政府采购工程）（专门面向中小企业）</w:t>
            </w:r>
            <w:r>
              <w:rPr>
                <w:rFonts w:hint="eastAsia" w:ascii="宋体" w:hAnsi="宋体" w:eastAsia="宋体" w:cs="宋体"/>
                <w:color w:val="auto"/>
                <w:sz w:val="22"/>
                <w:highlight w:val="none"/>
              </w:rPr>
              <w:t>采购项目的潜在供应商应在</w:t>
            </w:r>
            <w:r>
              <w:rPr>
                <w:rFonts w:hint="eastAsia" w:ascii="宋体" w:hAnsi="宋体" w:eastAsia="宋体" w:cs="宋体"/>
                <w:b/>
                <w:color w:val="auto"/>
                <w:sz w:val="22"/>
                <w:highlight w:val="none"/>
                <w:u w:val="single"/>
              </w:rPr>
              <w:t>江苏政府采购网“苏采云系统”内</w:t>
            </w:r>
            <w:r>
              <w:rPr>
                <w:rFonts w:hint="eastAsia" w:ascii="宋体" w:hAnsi="宋体" w:eastAsia="宋体" w:cs="宋体"/>
                <w:color w:val="auto"/>
                <w:sz w:val="22"/>
                <w:highlight w:val="none"/>
              </w:rPr>
              <w:t>获取采购文件，并于</w:t>
            </w:r>
            <w:r>
              <w:rPr>
                <w:rFonts w:hint="eastAsia" w:ascii="宋体" w:hAnsi="宋体" w:eastAsia="宋体" w:cs="宋体"/>
                <w:b/>
                <w:color w:val="auto"/>
                <w:sz w:val="22"/>
                <w:highlight w:val="none"/>
                <w:u w:val="single"/>
                <w:lang w:eastAsia="zh-CN"/>
              </w:rPr>
              <w:t>202</w:t>
            </w:r>
            <w:r>
              <w:rPr>
                <w:rFonts w:hint="eastAsia" w:ascii="宋体" w:hAnsi="宋体" w:eastAsia="宋体" w:cs="宋体"/>
                <w:b/>
                <w:color w:val="auto"/>
                <w:sz w:val="22"/>
                <w:highlight w:val="none"/>
                <w:u w:val="single"/>
                <w:lang w:val="en-US" w:eastAsia="zh-CN"/>
              </w:rPr>
              <w:t>5</w:t>
            </w:r>
            <w:r>
              <w:rPr>
                <w:rFonts w:hint="eastAsia" w:ascii="宋体" w:hAnsi="宋体" w:eastAsia="宋体" w:cs="宋体"/>
                <w:b/>
                <w:color w:val="auto"/>
                <w:sz w:val="22"/>
                <w:highlight w:val="none"/>
                <w:u w:val="single"/>
                <w:lang w:eastAsia="zh-CN"/>
              </w:rPr>
              <w:t>年</w:t>
            </w:r>
            <w:r>
              <w:rPr>
                <w:rFonts w:hint="eastAsia" w:cs="宋体"/>
                <w:b/>
                <w:color w:val="auto"/>
                <w:sz w:val="22"/>
                <w:highlight w:val="none"/>
                <w:u w:val="single"/>
                <w:lang w:val="en-US" w:eastAsia="zh-CN"/>
              </w:rPr>
              <w:t>12</w:t>
            </w:r>
            <w:r>
              <w:rPr>
                <w:rFonts w:hint="eastAsia" w:ascii="宋体" w:hAnsi="宋体" w:eastAsia="宋体" w:cs="宋体"/>
                <w:b/>
                <w:color w:val="auto"/>
                <w:sz w:val="22"/>
                <w:highlight w:val="none"/>
                <w:u w:val="single"/>
                <w:lang w:eastAsia="zh-CN"/>
              </w:rPr>
              <w:t>月</w:t>
            </w:r>
            <w:r>
              <w:rPr>
                <w:rFonts w:hint="eastAsia" w:cs="宋体"/>
                <w:b/>
                <w:color w:val="auto"/>
                <w:sz w:val="22"/>
                <w:highlight w:val="none"/>
                <w:u w:val="single"/>
                <w:lang w:val="en-US" w:eastAsia="zh-CN"/>
              </w:rPr>
              <w:t>09</w:t>
            </w:r>
            <w:r>
              <w:rPr>
                <w:rFonts w:hint="eastAsia" w:ascii="宋体" w:hAnsi="宋体" w:eastAsia="宋体" w:cs="宋体"/>
                <w:b/>
                <w:color w:val="auto"/>
                <w:sz w:val="22"/>
                <w:highlight w:val="none"/>
                <w:u w:val="single"/>
                <w:lang w:eastAsia="zh-CN"/>
              </w:rPr>
              <w:t>日</w:t>
            </w:r>
            <w:r>
              <w:rPr>
                <w:rFonts w:hint="eastAsia" w:ascii="宋体" w:hAnsi="宋体" w:eastAsia="宋体" w:cs="宋体"/>
                <w:b/>
                <w:color w:val="auto"/>
                <w:sz w:val="21"/>
                <w:highlight w:val="none"/>
                <w:u w:val="single"/>
              </w:rPr>
              <w:t xml:space="preserve"> </w:t>
            </w:r>
            <w:r>
              <w:rPr>
                <w:rFonts w:hint="eastAsia" w:cs="宋体"/>
                <w:b/>
                <w:color w:val="auto"/>
                <w:sz w:val="22"/>
                <w:highlight w:val="none"/>
                <w:u w:val="single"/>
                <w:lang w:val="en-US" w:eastAsia="zh-CN"/>
              </w:rPr>
              <w:t>09时</w:t>
            </w:r>
            <w:r>
              <w:rPr>
                <w:rFonts w:hint="eastAsia" w:ascii="宋体" w:hAnsi="宋体" w:eastAsia="宋体" w:cs="宋体"/>
                <w:b/>
                <w:color w:val="auto"/>
                <w:sz w:val="22"/>
                <w:highlight w:val="none"/>
                <w:u w:val="single"/>
                <w:lang w:val="en-US" w:eastAsia="zh-CN"/>
              </w:rPr>
              <w:t>00</w:t>
            </w:r>
            <w:r>
              <w:rPr>
                <w:rFonts w:hint="eastAsia" w:cs="宋体"/>
                <w:b/>
                <w:color w:val="auto"/>
                <w:sz w:val="22"/>
                <w:highlight w:val="none"/>
                <w:u w:val="single"/>
                <w:lang w:val="en-US" w:eastAsia="zh-CN"/>
              </w:rPr>
              <w:t>分</w:t>
            </w:r>
            <w:r>
              <w:rPr>
                <w:rFonts w:hint="eastAsia" w:ascii="宋体" w:hAnsi="宋体" w:eastAsia="宋体" w:cs="宋体"/>
                <w:b/>
                <w:color w:val="auto"/>
                <w:sz w:val="22"/>
                <w:highlight w:val="none"/>
                <w:u w:val="single"/>
              </w:rPr>
              <w:t>00</w:t>
            </w:r>
            <w:r>
              <w:rPr>
                <w:rFonts w:hint="eastAsia" w:cs="宋体"/>
                <w:b/>
                <w:color w:val="auto"/>
                <w:sz w:val="22"/>
                <w:highlight w:val="none"/>
                <w:u w:val="single"/>
                <w:lang w:val="en-US" w:eastAsia="zh-CN"/>
              </w:rPr>
              <w:t>秒</w:t>
            </w:r>
            <w:r>
              <w:rPr>
                <w:rFonts w:hint="eastAsia" w:ascii="宋体" w:hAnsi="宋体" w:eastAsia="宋体" w:cs="宋体"/>
                <w:color w:val="auto"/>
                <w:sz w:val="22"/>
                <w:highlight w:val="none"/>
              </w:rPr>
              <w:t>（北京时间）前</w:t>
            </w:r>
            <w:r>
              <w:rPr>
                <w:rFonts w:hint="eastAsia" w:ascii="宋体" w:hAnsi="宋体" w:eastAsia="宋体" w:cs="宋体"/>
                <w:b/>
                <w:color w:val="auto"/>
                <w:sz w:val="22"/>
                <w:highlight w:val="none"/>
              </w:rPr>
              <w:t>上传电子响应文件</w:t>
            </w:r>
            <w:r>
              <w:rPr>
                <w:rFonts w:hint="eastAsia" w:ascii="宋体" w:hAnsi="宋体" w:eastAsia="宋体" w:cs="宋体"/>
                <w:color w:val="auto"/>
                <w:sz w:val="22"/>
                <w:highlight w:val="none"/>
              </w:rPr>
              <w:t>。</w:t>
            </w:r>
          </w:p>
        </w:tc>
      </w:tr>
    </w:tbl>
    <w:p w14:paraId="63A0621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一、项目基本情况</w:t>
      </w:r>
    </w:p>
    <w:p w14:paraId="1B67AA7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rPr>
      </w:pPr>
      <w:r>
        <w:rPr>
          <w:rFonts w:hint="eastAsia" w:cs="宋体"/>
          <w:color w:val="auto"/>
          <w:sz w:val="22"/>
          <w:highlight w:val="none"/>
          <w:lang w:val="en-US" w:eastAsia="zh-CN"/>
        </w:rPr>
        <w:t>项目</w:t>
      </w:r>
      <w:r>
        <w:rPr>
          <w:rFonts w:hint="eastAsia" w:ascii="宋体" w:hAnsi="宋体" w:eastAsia="宋体" w:cs="宋体"/>
          <w:color w:val="auto"/>
          <w:sz w:val="22"/>
          <w:highlight w:val="none"/>
        </w:rPr>
        <w:t>编号：</w:t>
      </w:r>
      <w:r>
        <w:rPr>
          <w:rFonts w:hint="eastAsia" w:cs="宋体"/>
          <w:color w:val="auto"/>
          <w:sz w:val="22"/>
          <w:highlight w:val="none"/>
          <w:lang w:val="en-US" w:eastAsia="zh-CN"/>
        </w:rPr>
        <w:t>JSZC-320707-SHCG-C2025-0015</w:t>
      </w:r>
    </w:p>
    <w:p w14:paraId="7493513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highlight w:val="none"/>
          <w:lang w:eastAsia="zh-CN"/>
        </w:rPr>
      </w:pPr>
      <w:r>
        <w:rPr>
          <w:rFonts w:hint="eastAsia" w:cs="宋体"/>
          <w:color w:val="auto"/>
          <w:sz w:val="22"/>
          <w:highlight w:val="none"/>
          <w:lang w:val="en-US" w:eastAsia="zh-CN"/>
        </w:rPr>
        <w:t>项目</w:t>
      </w:r>
      <w:r>
        <w:rPr>
          <w:rFonts w:hint="eastAsia" w:ascii="宋体" w:hAnsi="宋体" w:eastAsia="宋体" w:cs="宋体"/>
          <w:color w:val="auto"/>
          <w:sz w:val="22"/>
          <w:highlight w:val="none"/>
        </w:rPr>
        <w:t>名称：</w:t>
      </w:r>
      <w:r>
        <w:rPr>
          <w:rFonts w:hint="eastAsia" w:cs="宋体"/>
          <w:color w:val="auto"/>
          <w:sz w:val="22"/>
          <w:highlight w:val="none"/>
          <w:lang w:eastAsia="zh-CN"/>
        </w:rPr>
        <w:t>赣榆区墩尚镇刘欢线（刘湾中心十字路-后舵桥）改建工程（政府采购工程）（专门面向中小企业）</w:t>
      </w:r>
    </w:p>
    <w:p w14:paraId="2B0EB7F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采购方式：竞争性磋商</w:t>
      </w:r>
      <w:r>
        <w:rPr>
          <w:rFonts w:hint="eastAsia" w:ascii="宋体" w:hAnsi="宋体" w:eastAsia="宋体" w:cs="宋体"/>
          <w:color w:val="auto"/>
          <w:sz w:val="22"/>
          <w:highlight w:val="none"/>
          <w:lang w:eastAsia="zh-CN"/>
        </w:rPr>
        <w:t>；</w:t>
      </w:r>
    </w:p>
    <w:p w14:paraId="2F9C7F4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项目预算金额及最高投标限价</w:t>
      </w:r>
      <w:r>
        <w:rPr>
          <w:rFonts w:hint="eastAsia" w:ascii="宋体" w:hAnsi="宋体" w:eastAsia="宋体" w:cs="宋体"/>
          <w:color w:val="auto"/>
          <w:sz w:val="22"/>
          <w:highlight w:val="none"/>
          <w:lang w:val="en-US" w:eastAsia="zh-CN"/>
        </w:rPr>
        <w:t>:</w:t>
      </w:r>
      <w:r>
        <w:rPr>
          <w:rFonts w:hint="eastAsia" w:cs="宋体"/>
          <w:b/>
          <w:bCs/>
          <w:color w:val="auto"/>
          <w:sz w:val="22"/>
          <w:highlight w:val="none"/>
          <w:lang w:val="en-US" w:eastAsia="zh-CN"/>
        </w:rPr>
        <w:t>壹佰壹拾玖万陆仟叁佰零捌元肆角整（￥1196308.4元）</w:t>
      </w:r>
      <w:r>
        <w:rPr>
          <w:rFonts w:hint="eastAsia" w:ascii="宋体" w:hAnsi="宋体" w:eastAsia="宋体" w:cs="宋体"/>
          <w:color w:val="auto"/>
          <w:sz w:val="22"/>
          <w:highlight w:val="none"/>
          <w:lang w:val="en-US" w:eastAsia="zh-CN"/>
        </w:rPr>
        <w:t>，</w:t>
      </w:r>
      <w:r>
        <w:rPr>
          <w:rFonts w:hint="eastAsia" w:ascii="宋体" w:hAnsi="宋体" w:eastAsia="宋体" w:cs="宋体"/>
          <w:color w:val="auto"/>
          <w:sz w:val="22"/>
          <w:highlight w:val="none"/>
        </w:rPr>
        <w:t>投标报价超过最高投标限价的按无效报价处理。</w:t>
      </w:r>
    </w:p>
    <w:p w14:paraId="3CE4BDD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采购需求：本项目路线</w:t>
      </w:r>
      <w:r>
        <w:rPr>
          <w:rFonts w:hint="eastAsia" w:ascii="宋体" w:hAnsi="宋体" w:eastAsia="宋体" w:cs="宋体"/>
          <w:color w:val="auto"/>
          <w:sz w:val="22"/>
          <w:highlight w:val="none"/>
          <w:lang w:eastAsia="zh-CN"/>
        </w:rPr>
        <w:t>西起</w:t>
      </w:r>
      <w:r>
        <w:rPr>
          <w:rFonts w:hint="eastAsia" w:cs="宋体"/>
          <w:color w:val="auto"/>
          <w:sz w:val="22"/>
          <w:highlight w:val="none"/>
          <w:lang w:eastAsia="zh-CN"/>
        </w:rPr>
        <w:t>后舵桥</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设计起点桩号K0+000</w:t>
      </w:r>
      <w:r>
        <w:rPr>
          <w:rFonts w:hint="eastAsia" w:ascii="宋体" w:hAnsi="宋体" w:eastAsia="宋体" w:cs="宋体"/>
          <w:color w:val="auto"/>
          <w:sz w:val="22"/>
          <w:highlight w:val="none"/>
          <w:lang w:eastAsia="zh-CN"/>
        </w:rPr>
        <w:t>，</w:t>
      </w:r>
      <w:r>
        <w:rPr>
          <w:rFonts w:hint="eastAsia" w:cs="宋体"/>
          <w:color w:val="auto"/>
          <w:sz w:val="22"/>
          <w:highlight w:val="none"/>
          <w:lang w:eastAsia="zh-CN"/>
        </w:rPr>
        <w:t>南</w:t>
      </w:r>
      <w:r>
        <w:rPr>
          <w:rFonts w:hint="eastAsia" w:ascii="宋体" w:hAnsi="宋体" w:eastAsia="宋体" w:cs="宋体"/>
          <w:color w:val="auto"/>
          <w:sz w:val="22"/>
          <w:highlight w:val="none"/>
          <w:lang w:eastAsia="zh-CN"/>
        </w:rPr>
        <w:t>至</w:t>
      </w:r>
      <w:r>
        <w:rPr>
          <w:rFonts w:hint="eastAsia" w:cs="宋体"/>
          <w:color w:val="auto"/>
          <w:sz w:val="22"/>
          <w:highlight w:val="none"/>
          <w:lang w:eastAsia="zh-CN"/>
        </w:rPr>
        <w:t>刘湾中心十字路</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设计终点桩号K</w:t>
      </w: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rPr>
        <w:t>+</w:t>
      </w:r>
      <w:r>
        <w:rPr>
          <w:rFonts w:hint="eastAsia" w:cs="宋体"/>
          <w:color w:val="auto"/>
          <w:sz w:val="22"/>
          <w:highlight w:val="none"/>
          <w:lang w:val="en-US" w:eastAsia="zh-CN"/>
        </w:rPr>
        <w:t>435.460</w:t>
      </w:r>
      <w:r>
        <w:rPr>
          <w:rFonts w:hint="eastAsia" w:ascii="宋体" w:hAnsi="宋体" w:eastAsia="宋体" w:cs="宋体"/>
          <w:color w:val="auto"/>
          <w:sz w:val="22"/>
          <w:highlight w:val="none"/>
          <w:lang w:val="en-US" w:eastAsia="zh-CN"/>
        </w:rPr>
        <w:t>.</w:t>
      </w:r>
      <w:r>
        <w:rPr>
          <w:rFonts w:hint="eastAsia" w:ascii="宋体" w:hAnsi="宋体" w:eastAsia="宋体" w:cs="宋体"/>
          <w:color w:val="auto"/>
          <w:sz w:val="22"/>
          <w:highlight w:val="none"/>
          <w:lang w:eastAsia="zh-CN"/>
        </w:rPr>
        <w:t>道路全长约</w:t>
      </w:r>
      <w:r>
        <w:rPr>
          <w:rFonts w:hint="eastAsia" w:ascii="宋体" w:hAnsi="宋体" w:eastAsia="宋体" w:cs="宋体"/>
          <w:color w:val="auto"/>
          <w:sz w:val="22"/>
          <w:highlight w:val="none"/>
          <w:lang w:val="en-US" w:eastAsia="zh-CN"/>
        </w:rPr>
        <w:t>2.</w:t>
      </w:r>
      <w:r>
        <w:rPr>
          <w:rFonts w:hint="eastAsia" w:cs="宋体"/>
          <w:color w:val="auto"/>
          <w:sz w:val="22"/>
          <w:highlight w:val="none"/>
          <w:lang w:val="en-US" w:eastAsia="zh-CN"/>
        </w:rPr>
        <w:t>44</w:t>
      </w:r>
      <w:r>
        <w:rPr>
          <w:rFonts w:hint="eastAsia" w:ascii="宋体" w:hAnsi="宋体" w:eastAsia="宋体" w:cs="宋体"/>
          <w:color w:val="auto"/>
          <w:sz w:val="22"/>
          <w:highlight w:val="none"/>
          <w:lang w:val="en-US" w:eastAsia="zh-CN"/>
        </w:rPr>
        <w:t>公里</w:t>
      </w:r>
      <w:r>
        <w:rPr>
          <w:rFonts w:hint="eastAsia" w:cs="宋体"/>
          <w:color w:val="auto"/>
          <w:sz w:val="22"/>
          <w:highlight w:val="none"/>
          <w:lang w:val="en-US" w:eastAsia="zh-CN"/>
        </w:rPr>
        <w:t>,</w:t>
      </w:r>
      <w:r>
        <w:rPr>
          <w:rFonts w:hint="eastAsia" w:ascii="宋体" w:hAnsi="宋体" w:eastAsia="宋体" w:cs="宋体"/>
          <w:color w:val="auto"/>
          <w:sz w:val="22"/>
          <w:highlight w:val="none"/>
        </w:rPr>
        <w:t>全部沿老路布设</w:t>
      </w:r>
      <w:r>
        <w:rPr>
          <w:rFonts w:hint="eastAsia" w:ascii="宋体" w:hAnsi="宋体" w:eastAsia="宋体" w:cs="宋体"/>
          <w:color w:val="auto"/>
          <w:sz w:val="22"/>
          <w:highlight w:val="none"/>
          <w:lang w:eastAsia="zh-CN"/>
        </w:rPr>
        <w:t>。</w:t>
      </w:r>
      <w:r>
        <w:rPr>
          <w:rFonts w:hint="eastAsia" w:cs="宋体"/>
          <w:color w:val="auto"/>
          <w:sz w:val="22"/>
          <w:highlight w:val="none"/>
          <w:lang w:eastAsia="zh-CN"/>
        </w:rPr>
        <w:t>双侧</w:t>
      </w:r>
      <w:r>
        <w:rPr>
          <w:rFonts w:hint="eastAsia" w:ascii="宋体" w:hAnsi="宋体" w:eastAsia="宋体" w:cs="宋体"/>
          <w:color w:val="auto"/>
          <w:sz w:val="22"/>
          <w:highlight w:val="none"/>
          <w:lang w:eastAsia="zh-CN"/>
        </w:rPr>
        <w:t>拓宽</w:t>
      </w:r>
      <w:r>
        <w:rPr>
          <w:rFonts w:hint="eastAsia" w:cs="宋体"/>
          <w:color w:val="auto"/>
          <w:sz w:val="22"/>
          <w:highlight w:val="none"/>
          <w:lang w:eastAsia="zh-CN"/>
        </w:rPr>
        <w:t>，</w:t>
      </w:r>
      <w:r>
        <w:rPr>
          <w:rFonts w:hint="eastAsia" w:ascii="宋体" w:hAnsi="宋体" w:eastAsia="宋体" w:cs="宋体"/>
          <w:color w:val="auto"/>
          <w:sz w:val="22"/>
          <w:highlight w:val="none"/>
        </w:rPr>
        <w:t>采用C30，厚度</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20cm</w:t>
      </w:r>
      <w:r>
        <w:rPr>
          <w:rFonts w:hint="eastAsia" w:ascii="宋体" w:hAnsi="宋体" w:eastAsia="宋体" w:cs="宋体"/>
          <w:color w:val="auto"/>
          <w:sz w:val="22"/>
          <w:highlight w:val="none"/>
          <w:lang w:eastAsia="zh-CN"/>
        </w:rPr>
        <w:t>弯拉强度</w:t>
      </w:r>
      <w:r>
        <w:rPr>
          <w:rFonts w:hint="eastAsia" w:ascii="宋体" w:hAnsi="宋体" w:eastAsia="宋体" w:cs="宋体"/>
          <w:color w:val="auto"/>
          <w:sz w:val="22"/>
          <w:highlight w:val="none"/>
          <w:lang w:val="en-US" w:eastAsia="zh-CN"/>
        </w:rPr>
        <w:t>4.0MPa水泥混凝土</w:t>
      </w:r>
      <w:r>
        <w:rPr>
          <w:rFonts w:hint="eastAsia" w:ascii="宋体" w:hAnsi="宋体" w:eastAsia="宋体" w:cs="宋体"/>
          <w:color w:val="auto"/>
          <w:sz w:val="22"/>
          <w:highlight w:val="none"/>
        </w:rPr>
        <w:t>;</w:t>
      </w:r>
      <w:r>
        <w:rPr>
          <w:rFonts w:hint="eastAsia" w:cs="宋体"/>
          <w:color w:val="auto"/>
          <w:sz w:val="22"/>
          <w:highlight w:val="none"/>
          <w:lang w:eastAsia="zh-CN"/>
        </w:rPr>
        <w:t>整条道路加铺</w:t>
      </w:r>
      <w:r>
        <w:rPr>
          <w:rFonts w:hint="eastAsia" w:cs="宋体"/>
          <w:color w:val="auto"/>
          <w:sz w:val="22"/>
          <w:highlight w:val="none"/>
          <w:lang w:val="en-US" w:eastAsia="zh-CN"/>
        </w:rPr>
        <w:t>5cm厚AC-13细粒式沥青混凝土；</w:t>
      </w:r>
      <w:r>
        <w:rPr>
          <w:rFonts w:hint="eastAsia" w:ascii="宋体" w:hAnsi="宋体" w:eastAsia="宋体" w:cs="宋体"/>
          <w:color w:val="auto"/>
          <w:sz w:val="22"/>
          <w:highlight w:val="none"/>
          <w:lang w:val="en-US" w:eastAsia="zh-CN"/>
        </w:rPr>
        <w:t>交通标志工程等</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详见工程量清单</w:t>
      </w:r>
      <w:r>
        <w:rPr>
          <w:rFonts w:hint="eastAsia" w:ascii="宋体" w:hAnsi="宋体" w:eastAsia="宋体" w:cs="宋体"/>
          <w:color w:val="auto"/>
          <w:sz w:val="22"/>
          <w:highlight w:val="none"/>
          <w:lang w:val="en-US" w:eastAsia="zh-CN"/>
        </w:rPr>
        <w:t>及施工图纸</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w:t>
      </w:r>
    </w:p>
    <w:p w14:paraId="289841F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2" w:firstLineChars="200"/>
        <w:rPr>
          <w:rFonts w:hint="eastAsia" w:ascii="宋体" w:hAnsi="宋体" w:eastAsia="宋体" w:cs="宋体"/>
          <w:color w:val="auto"/>
          <w:highlight w:val="none"/>
        </w:rPr>
      </w:pPr>
      <w:r>
        <w:rPr>
          <w:rFonts w:hint="eastAsia" w:ascii="宋体" w:hAnsi="宋体" w:eastAsia="宋体" w:cs="宋体"/>
          <w:b/>
          <w:bCs/>
          <w:color w:val="auto"/>
          <w:sz w:val="22"/>
          <w:highlight w:val="none"/>
        </w:rPr>
        <w:t>对项目需求部分的询问、质疑请与采购人联系，由采购人负责答复。</w:t>
      </w:r>
    </w:p>
    <w:p w14:paraId="48E9466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highlight w:val="none"/>
          <w:lang w:val="en-US" w:eastAsia="zh-CN"/>
        </w:rPr>
      </w:pPr>
      <w:r>
        <w:rPr>
          <w:rFonts w:hint="eastAsia" w:ascii="宋体" w:hAnsi="宋体" w:eastAsia="宋体" w:cs="宋体"/>
          <w:color w:val="auto"/>
          <w:sz w:val="22"/>
          <w:highlight w:val="none"/>
        </w:rPr>
        <w:t>建设地点：</w:t>
      </w:r>
      <w:r>
        <w:rPr>
          <w:rFonts w:hint="eastAsia" w:cs="宋体"/>
          <w:color w:val="auto"/>
          <w:sz w:val="22"/>
          <w:highlight w:val="none"/>
          <w:lang w:val="en-US" w:eastAsia="zh-CN"/>
        </w:rPr>
        <w:t>赣榆区墩尚镇刘湾中心十字路-后舵桥</w:t>
      </w:r>
      <w:r>
        <w:rPr>
          <w:rFonts w:hint="eastAsia" w:ascii="宋体" w:hAnsi="宋体" w:eastAsia="宋体" w:cs="宋体"/>
          <w:color w:val="auto"/>
          <w:sz w:val="22"/>
          <w:highlight w:val="none"/>
          <w:lang w:val="en-US" w:eastAsia="zh-CN"/>
        </w:rPr>
        <w:t>；</w:t>
      </w:r>
    </w:p>
    <w:p w14:paraId="48780C3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highlight w:val="none"/>
          <w:lang w:eastAsia="zh-CN"/>
        </w:rPr>
      </w:pPr>
      <w:r>
        <w:rPr>
          <w:rFonts w:hint="eastAsia" w:ascii="宋体" w:hAnsi="宋体" w:eastAsia="宋体" w:cs="宋体"/>
          <w:color w:val="auto"/>
          <w:sz w:val="22"/>
          <w:highlight w:val="none"/>
        </w:rPr>
        <w:t>承包方式：包工包料</w:t>
      </w:r>
      <w:r>
        <w:rPr>
          <w:rFonts w:hint="eastAsia" w:cs="宋体"/>
          <w:color w:val="auto"/>
          <w:sz w:val="22"/>
          <w:highlight w:val="none"/>
          <w:lang w:eastAsia="zh-CN"/>
        </w:rPr>
        <w:t>；</w:t>
      </w:r>
    </w:p>
    <w:p w14:paraId="5053C60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highlight w:val="none"/>
        </w:rPr>
      </w:pPr>
      <w:r>
        <w:rPr>
          <w:rFonts w:hint="eastAsia" w:ascii="宋体" w:hAnsi="宋体" w:eastAsia="宋体" w:cs="宋体"/>
          <w:color w:val="auto"/>
          <w:sz w:val="22"/>
          <w:highlight w:val="none"/>
        </w:rPr>
        <w:t>质量标准：执行国家现行验收标准，等级为合格。</w:t>
      </w:r>
    </w:p>
    <w:p w14:paraId="13AB037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highlight w:val="none"/>
          <w:lang w:eastAsia="zh-CN"/>
        </w:rPr>
      </w:pPr>
      <w:r>
        <w:rPr>
          <w:rFonts w:hint="eastAsia" w:ascii="宋体" w:hAnsi="宋体" w:eastAsia="宋体" w:cs="宋体"/>
          <w:color w:val="auto"/>
          <w:sz w:val="22"/>
          <w:highlight w:val="none"/>
        </w:rPr>
        <w:t>合同履行期限（工期）：</w:t>
      </w:r>
      <w:r>
        <w:rPr>
          <w:rFonts w:hint="eastAsia" w:cs="宋体"/>
          <w:color w:val="auto"/>
          <w:sz w:val="22"/>
          <w:highlight w:val="none"/>
          <w:lang w:val="en-US" w:eastAsia="zh-CN"/>
        </w:rPr>
        <w:t>45日历天（以实际开工令为准）</w:t>
      </w:r>
      <w:r>
        <w:rPr>
          <w:rFonts w:hint="eastAsia" w:ascii="宋体" w:hAnsi="宋体" w:eastAsia="宋体" w:cs="宋体"/>
          <w:color w:val="auto"/>
          <w:sz w:val="22"/>
          <w:highlight w:val="none"/>
          <w:lang w:eastAsia="zh-CN"/>
        </w:rPr>
        <w:t>。</w:t>
      </w:r>
    </w:p>
    <w:p w14:paraId="510A44A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highlight w:val="none"/>
        </w:rPr>
      </w:pPr>
      <w:r>
        <w:rPr>
          <w:rFonts w:hint="eastAsia" w:ascii="宋体" w:hAnsi="宋体" w:eastAsia="宋体" w:cs="宋体"/>
          <w:color w:val="auto"/>
          <w:sz w:val="22"/>
          <w:highlight w:val="none"/>
        </w:rPr>
        <w:t>本项目不接受联合体投标。</w:t>
      </w:r>
    </w:p>
    <w:p w14:paraId="5E16AFE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二、申请人的资格要求</w:t>
      </w:r>
    </w:p>
    <w:p w14:paraId="67E4183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b/>
          <w:bCs/>
          <w:color w:val="auto"/>
          <w:highlight w:val="none"/>
        </w:rPr>
      </w:pPr>
      <w:r>
        <w:rPr>
          <w:rFonts w:hint="eastAsia" w:ascii="宋体" w:hAnsi="宋体" w:eastAsia="宋体" w:cs="宋体"/>
          <w:b/>
          <w:bCs/>
          <w:color w:val="auto"/>
          <w:sz w:val="22"/>
          <w:highlight w:val="none"/>
        </w:rPr>
        <w:t>1、满足《中华人民共和国政府采购法》第二十二条规定，提供下列材料：</w:t>
      </w:r>
    </w:p>
    <w:p w14:paraId="5619A84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（1）法人或者其他组织的营业执照等证明文件，自然人的身份证明；</w:t>
      </w:r>
    </w:p>
    <w:p w14:paraId="2ACE698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（2）具有良好的商业信誉和健全的财务会计制度。（按连财购〔2023〕4 号文件要求， 符合要求的提交《财务状况报告及税收、社会保障资金缴纳情况承诺函》，</w:t>
      </w:r>
      <w:r>
        <w:rPr>
          <w:rFonts w:hint="eastAsia" w:ascii="宋体" w:hAnsi="宋体" w:eastAsia="宋体" w:cs="宋体"/>
          <w:color w:val="auto"/>
          <w:sz w:val="22"/>
          <w:highlight w:val="none"/>
          <w:lang w:val="en-US" w:eastAsia="zh-CN"/>
        </w:rPr>
        <w:t>并上传至电子投标文件中，</w:t>
      </w:r>
      <w:r>
        <w:rPr>
          <w:rFonts w:hint="eastAsia" w:ascii="宋体" w:hAnsi="宋体" w:eastAsia="宋体" w:cs="宋体"/>
          <w:color w:val="auto"/>
          <w:sz w:val="22"/>
          <w:highlight w:val="none"/>
        </w:rPr>
        <w:t xml:space="preserve">格式详见采购文件）； </w:t>
      </w:r>
    </w:p>
    <w:p w14:paraId="2A7815C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（3）依法缴纳税收和社会保障资金的相关材料。（按连财购〔2023〕4 号文件要求，符合要求的提交《财务状况报告及税收、社会保障资金缴纳情况承诺函》，</w:t>
      </w:r>
      <w:r>
        <w:rPr>
          <w:rFonts w:hint="eastAsia" w:ascii="宋体" w:hAnsi="宋体" w:eastAsia="宋体" w:cs="宋体"/>
          <w:color w:val="auto"/>
          <w:sz w:val="22"/>
          <w:highlight w:val="none"/>
          <w:lang w:val="en-US" w:eastAsia="zh-CN"/>
        </w:rPr>
        <w:t>并上传至电子投标文件中，</w:t>
      </w:r>
      <w:r>
        <w:rPr>
          <w:rFonts w:hint="eastAsia" w:ascii="宋体" w:hAnsi="宋体" w:eastAsia="宋体" w:cs="宋体"/>
          <w:color w:val="auto"/>
          <w:sz w:val="22"/>
          <w:highlight w:val="none"/>
        </w:rPr>
        <w:t xml:space="preserve">格式详见采购文件）； </w:t>
      </w:r>
    </w:p>
    <w:p w14:paraId="60102DE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（4）具备履行合同所必需的设备和专业技术能力的声明及证明材料（承诺文件见采购文件格式，后附证明材料）； </w:t>
      </w:r>
    </w:p>
    <w:p w14:paraId="309C23A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（5）参加政府采购活动前三年内在经营活动中没有重大违法记录的书面声明（承诺文件见采购文件格式）。</w:t>
      </w:r>
    </w:p>
    <w:p w14:paraId="6D688A2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2、落实政府采购政策需满足的资格要求：</w:t>
      </w:r>
    </w:p>
    <w:p w14:paraId="2DF6517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lang w:val="en-US" w:eastAsia="en-US"/>
        </w:rPr>
      </w:pPr>
      <w:r>
        <w:rPr>
          <w:rFonts w:hint="eastAsia" w:ascii="宋体" w:hAnsi="宋体" w:eastAsia="宋体" w:cs="宋体"/>
          <w:color w:val="auto"/>
          <w:sz w:val="22"/>
          <w:highlight w:val="none"/>
          <w:lang w:val="en-US" w:eastAsia="zh-CN"/>
        </w:rPr>
        <w:t>（1）</w:t>
      </w:r>
      <w:r>
        <w:rPr>
          <w:rFonts w:hint="eastAsia" w:ascii="宋体" w:hAnsi="宋体" w:eastAsia="宋体" w:cs="宋体"/>
          <w:color w:val="auto"/>
          <w:sz w:val="22"/>
          <w:highlight w:val="none"/>
          <w:lang w:val="en-US" w:eastAsia="en-US"/>
        </w:rPr>
        <w:t>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p>
    <w:p w14:paraId="3D2C4A0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（2）支持绿色发展</w:t>
      </w:r>
    </w:p>
    <w:p w14:paraId="6CF880F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p>
    <w:p w14:paraId="639F133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1F8139F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③政府采购项目执行《财政部 生态环境部 工业和信息化部关于印发&lt;绿色数据中心政府采购需求标准（试行）&gt;的通知》（财库〔2023〕7号）相关要求。</w:t>
      </w:r>
    </w:p>
    <w:p w14:paraId="0DE076B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4270199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2"/>
        <w:rPr>
          <w:rFonts w:hint="eastAsia" w:ascii="宋体" w:hAnsi="宋体" w:eastAsia="宋体" w:cs="宋体"/>
          <w:b/>
          <w:bCs/>
          <w:color w:val="auto"/>
          <w:highlight w:val="none"/>
        </w:rPr>
      </w:pPr>
      <w:r>
        <w:rPr>
          <w:rFonts w:hint="eastAsia" w:ascii="宋体" w:hAnsi="宋体" w:eastAsia="宋体" w:cs="宋体"/>
          <w:b/>
          <w:bCs/>
          <w:color w:val="auto"/>
          <w:sz w:val="22"/>
          <w:highlight w:val="none"/>
        </w:rPr>
        <w:t>3、本项目的特定资格要求：</w:t>
      </w:r>
    </w:p>
    <w:p w14:paraId="2AC190A9">
      <w:pPr>
        <w:spacing w:line="440" w:lineRule="atLeast"/>
        <w:ind w:firstLine="440"/>
        <w:jc w:val="both"/>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eastAsia="zh-CN" w:bidi="ar"/>
        </w:rPr>
        <w:t>磋商供应商须具备建设行政主管部门核发的</w:t>
      </w:r>
      <w:r>
        <w:rPr>
          <w:rFonts w:hint="eastAsia" w:cs="宋体"/>
          <w:color w:val="auto"/>
          <w:sz w:val="22"/>
          <w:szCs w:val="22"/>
          <w:highlight w:val="none"/>
          <w:lang w:val="en-US" w:eastAsia="zh-CN" w:bidi="ar"/>
        </w:rPr>
        <w:t>有效的</w:t>
      </w:r>
      <w:r>
        <w:rPr>
          <w:rFonts w:hint="eastAsia" w:ascii="宋体" w:hAnsi="宋体" w:eastAsia="宋体" w:cs="宋体"/>
          <w:b/>
          <w:color w:val="auto"/>
          <w:sz w:val="22"/>
          <w:szCs w:val="22"/>
          <w:highlight w:val="none"/>
          <w:lang w:val="en-US" w:eastAsia="zh-CN" w:bidi="ar"/>
        </w:rPr>
        <w:t>市政公用工程施工总承包三级及以上资质，企业具备安全生产条件，并取得有效的安全</w:t>
      </w:r>
      <w:r>
        <w:rPr>
          <w:rFonts w:hint="eastAsia" w:cs="宋体"/>
          <w:b/>
          <w:color w:val="auto"/>
          <w:sz w:val="22"/>
          <w:szCs w:val="22"/>
          <w:highlight w:val="none"/>
          <w:lang w:val="en-US" w:eastAsia="zh-CN" w:bidi="ar"/>
        </w:rPr>
        <w:t>生产许可证，并在人员、设备、资金等方面具有相应的施工能力</w:t>
      </w:r>
      <w:r>
        <w:rPr>
          <w:rFonts w:hint="eastAsia" w:ascii="宋体" w:hAnsi="宋体" w:eastAsia="宋体" w:cs="宋体"/>
          <w:b/>
          <w:color w:val="auto"/>
          <w:sz w:val="22"/>
          <w:szCs w:val="22"/>
          <w:highlight w:val="none"/>
          <w:lang w:eastAsia="zh-CN" w:bidi="ar"/>
        </w:rPr>
        <w:t>。</w:t>
      </w:r>
      <w:r>
        <w:rPr>
          <w:rFonts w:hint="eastAsia" w:ascii="宋体" w:hAnsi="宋体" w:eastAsia="宋体" w:cs="宋体"/>
          <w:color w:val="auto"/>
          <w:sz w:val="22"/>
          <w:szCs w:val="22"/>
          <w:highlight w:val="none"/>
          <w:lang w:eastAsia="zh-CN" w:bidi="ar"/>
        </w:rPr>
        <w:t xml:space="preserve">                           </w:t>
      </w:r>
    </w:p>
    <w:p w14:paraId="47ECB99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val="en-US" w:eastAsia="zh-CN" w:bidi="ar"/>
        </w:rPr>
        <w:t>2</w:t>
      </w:r>
      <w:r>
        <w:rPr>
          <w:rFonts w:hint="eastAsia" w:ascii="宋体" w:hAnsi="宋体" w:eastAsia="宋体" w:cs="宋体"/>
          <w:color w:val="auto"/>
          <w:sz w:val="22"/>
          <w:szCs w:val="22"/>
          <w:highlight w:val="none"/>
          <w:lang w:eastAsia="zh-CN" w:bidi="ar"/>
        </w:rPr>
        <w:t>）拟派项目负责人须具备建设行政主管部门颁发的</w:t>
      </w:r>
      <w:r>
        <w:rPr>
          <w:rFonts w:hint="eastAsia" w:cs="宋体"/>
          <w:color w:val="auto"/>
          <w:sz w:val="22"/>
          <w:szCs w:val="22"/>
          <w:highlight w:val="none"/>
          <w:lang w:val="en-US" w:eastAsia="zh-CN" w:bidi="ar"/>
        </w:rPr>
        <w:t>有效的</w:t>
      </w:r>
      <w:r>
        <w:rPr>
          <w:rFonts w:hint="eastAsia" w:ascii="宋体" w:hAnsi="宋体" w:eastAsia="宋体" w:cs="宋体"/>
          <w:b/>
          <w:bCs/>
          <w:color w:val="auto"/>
          <w:sz w:val="24"/>
          <w:szCs w:val="24"/>
          <w:highlight w:val="none"/>
          <w:lang w:eastAsia="zh-CN"/>
        </w:rPr>
        <w:t>市政公用工程</w:t>
      </w:r>
      <w:r>
        <w:rPr>
          <w:rFonts w:hint="eastAsia" w:cs="宋体"/>
          <w:b/>
          <w:bCs/>
          <w:color w:val="auto"/>
          <w:sz w:val="22"/>
          <w:szCs w:val="22"/>
          <w:highlight w:val="none"/>
          <w:lang w:val="en-US" w:eastAsia="zh-CN" w:bidi="ar"/>
        </w:rPr>
        <w:t>专业二级及以上注册建造师资格，且具备有效的安全生产考核合格证（B类）。</w:t>
      </w:r>
    </w:p>
    <w:p w14:paraId="326E1518">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400" w:lineRule="exact"/>
        <w:ind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（3）本项目要求授权委托人必须为项目负责人，不接受项目负责人以外的人员作为委托人参与投标过程中各环节的活动。拟派项目负责人必须为投标单位的员工，提供劳动合同和</w:t>
      </w:r>
      <w:r>
        <w:rPr>
          <w:rFonts w:hint="eastAsia" w:cs="宋体"/>
          <w:b/>
          <w:bCs/>
          <w:color w:val="auto"/>
          <w:sz w:val="22"/>
          <w:highlight w:val="none"/>
          <w:lang w:val="en-US" w:eastAsia="zh-CN"/>
        </w:rPr>
        <w:t>2025年05月至今任意一个月</w:t>
      </w:r>
      <w:r>
        <w:rPr>
          <w:rFonts w:hint="eastAsia" w:ascii="宋体" w:hAnsi="宋体" w:eastAsia="宋体" w:cs="宋体"/>
          <w:color w:val="auto"/>
          <w:sz w:val="22"/>
          <w:highlight w:val="none"/>
          <w:lang w:val="en-US" w:eastAsia="zh-CN"/>
        </w:rPr>
        <w:t>由磋商供应商为其缴纳的社保证明（加盖社保中心章或社保中心参保缴费证明电子专用章）</w:t>
      </w:r>
      <w:r>
        <w:rPr>
          <w:rFonts w:hint="eastAsia" w:ascii="宋体" w:hAnsi="宋体" w:eastAsia="宋体" w:cs="宋体"/>
          <w:color w:val="333333"/>
          <w:sz w:val="21"/>
          <w:szCs w:val="21"/>
          <w:shd w:val="clear" w:fill="FFFFFF"/>
        </w:rPr>
        <w:t>（已退休仍在执业有效期内的必须提供退休证明及聘用合同）</w:t>
      </w:r>
      <w:r>
        <w:rPr>
          <w:rFonts w:hint="eastAsia" w:ascii="宋体" w:hAnsi="宋体" w:eastAsia="宋体" w:cs="宋体"/>
          <w:color w:val="333333"/>
          <w:sz w:val="21"/>
          <w:szCs w:val="21"/>
          <w:shd w:val="clear" w:fill="FFFFFF"/>
          <w:lang w:eastAsia="zh-CN"/>
        </w:rPr>
        <w:t>，</w:t>
      </w:r>
      <w:r>
        <w:rPr>
          <w:rFonts w:hint="eastAsia" w:ascii="宋体" w:hAnsi="宋体" w:eastAsia="宋体" w:cs="宋体"/>
          <w:color w:val="auto"/>
          <w:sz w:val="22"/>
          <w:highlight w:val="none"/>
          <w:lang w:val="en-US" w:eastAsia="zh-CN"/>
        </w:rPr>
        <w:t>供应商确定的项目负责人须全程参与磋商过程（含磋商、异议投诉等）</w:t>
      </w:r>
      <w:r>
        <w:rPr>
          <w:rFonts w:hint="eastAsia" w:cs="宋体"/>
          <w:color w:val="auto"/>
          <w:sz w:val="22"/>
          <w:highlight w:val="none"/>
          <w:lang w:val="en-US" w:eastAsia="zh-CN"/>
        </w:rPr>
        <w:t>。</w:t>
      </w:r>
      <w:r>
        <w:rPr>
          <w:rFonts w:hint="eastAsia" w:ascii="宋体" w:hAnsi="宋体" w:eastAsia="宋体" w:cs="宋体"/>
          <w:color w:val="auto"/>
          <w:sz w:val="22"/>
          <w:highlight w:val="none"/>
          <w:lang w:val="en-US" w:eastAsia="zh-CN"/>
        </w:rPr>
        <w:t xml:space="preserve"> </w:t>
      </w:r>
    </w:p>
    <w:p w14:paraId="797385F2">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rPr>
        <w:t>）投标人无不良行为、无借牌挂靠行为、项目负责人无不良行为承诺书，投标人、法定代表人、项目负责人无行贿犯罪记录承诺书。（见供应商承诺书格式）</w:t>
      </w:r>
    </w:p>
    <w:p w14:paraId="477A387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400" w:lineRule="exact"/>
        <w:ind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（5）本工程招标工作执行苏建招办〔2022〕2 号文，投标人在投标文件递交截止时间当日，建筑业企业投标资质动态监管结果不处于不合格状态。关于企业资质动态核查，由投标人在投标文件中作出书面承诺,若投标文件递交截止时间当日企业资质核查不合格,将主动放弃中标资格。</w:t>
      </w:r>
    </w:p>
    <w:p w14:paraId="33CCCD71">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400" w:lineRule="exact"/>
        <w:ind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6）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p>
    <w:p w14:paraId="37FDDCE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400" w:lineRule="exact"/>
        <w:ind w:right="0" w:firstLine="440"/>
        <w:rPr>
          <w:rFonts w:hint="eastAsia" w:cs="宋体"/>
          <w:color w:val="auto"/>
          <w:sz w:val="24"/>
          <w:highlight w:val="none"/>
          <w:lang w:val="en-US" w:eastAsia="zh-CN"/>
        </w:rPr>
      </w:pPr>
      <w:r>
        <w:rPr>
          <w:rFonts w:hint="eastAsia" w:ascii="宋体" w:hAnsi="宋体" w:eastAsia="宋体" w:cs="宋体"/>
          <w:color w:val="auto"/>
          <w:sz w:val="22"/>
          <w:highlight w:val="none"/>
          <w:lang w:val="en-US" w:eastAsia="zh-CN"/>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42747E03">
      <w:pPr>
        <w:spacing w:line="440" w:lineRule="atLeas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4.其他资格要求：</w:t>
      </w:r>
    </w:p>
    <w:p w14:paraId="43EB509F">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1）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p>
    <w:p w14:paraId="038628A3">
      <w:pPr>
        <w:spacing w:line="440" w:lineRule="atLeast"/>
        <w:ind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供应商/投标主体及其法定代表人、项目负责人未被列入“连云港市赣榆区行贿人联合惩戒信息库。”</w:t>
      </w:r>
    </w:p>
    <w:p w14:paraId="77A9DE81">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备注：采购人/招标人和区公共资源交易中心通过赣榆区行贿人联合惩戒信息库，对供应商/投标主体情况进行内部查询，查询结果页面打印留存。</w:t>
      </w:r>
    </w:p>
    <w:p w14:paraId="557DD3DD">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3</w:t>
      </w:r>
      <w:r>
        <w:rPr>
          <w:rFonts w:hint="eastAsia" w:ascii="宋体" w:hAnsi="宋体" w:eastAsia="宋体" w:cs="宋体"/>
          <w:color w:val="auto"/>
          <w:sz w:val="22"/>
          <w:highlight w:val="none"/>
        </w:rPr>
        <w:t>）单位负责人为同一人或者存在直接控股、管理关系的不同供应商，不得参加同一合同项下的政府采购活动。</w:t>
      </w:r>
    </w:p>
    <w:p w14:paraId="4D13DF88">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rPr>
        <w:t>）若供应商的法定代表人参加</w:t>
      </w:r>
      <w:r>
        <w:rPr>
          <w:rFonts w:hint="eastAsia" w:ascii="宋体" w:hAnsi="宋体" w:eastAsia="宋体" w:cs="宋体"/>
          <w:color w:val="auto"/>
          <w:sz w:val="22"/>
          <w:highlight w:val="none"/>
          <w:lang w:val="en-US" w:eastAsia="zh-CN"/>
        </w:rPr>
        <w:t>磋商</w:t>
      </w:r>
      <w:r>
        <w:rPr>
          <w:rFonts w:hint="eastAsia" w:ascii="宋体" w:hAnsi="宋体" w:eastAsia="宋体" w:cs="宋体"/>
          <w:color w:val="auto"/>
          <w:sz w:val="22"/>
          <w:highlight w:val="none"/>
        </w:rPr>
        <w:t>的，则需提供法定代表人资格证明及本人的身份证</w:t>
      </w:r>
      <w:r>
        <w:rPr>
          <w:rFonts w:hint="eastAsia" w:cs="宋体"/>
          <w:color w:val="auto"/>
          <w:sz w:val="22"/>
          <w:highlight w:val="none"/>
          <w:lang w:val="en-US" w:eastAsia="zh-CN"/>
        </w:rPr>
        <w:t>原件扫描件</w:t>
      </w:r>
      <w:r>
        <w:rPr>
          <w:rFonts w:hint="eastAsia" w:ascii="宋体" w:hAnsi="宋体" w:eastAsia="宋体" w:cs="宋体"/>
          <w:color w:val="auto"/>
          <w:sz w:val="22"/>
          <w:highlight w:val="none"/>
        </w:rPr>
        <w:t>；若授权委托代理人参加</w:t>
      </w:r>
      <w:r>
        <w:rPr>
          <w:rFonts w:hint="eastAsia" w:ascii="宋体" w:hAnsi="宋体" w:eastAsia="宋体" w:cs="宋体"/>
          <w:color w:val="auto"/>
          <w:sz w:val="22"/>
          <w:highlight w:val="none"/>
          <w:lang w:val="en-US" w:eastAsia="zh-CN"/>
        </w:rPr>
        <w:t>磋商</w:t>
      </w:r>
      <w:r>
        <w:rPr>
          <w:rFonts w:hint="eastAsia" w:ascii="宋体" w:hAnsi="宋体" w:eastAsia="宋体" w:cs="宋体"/>
          <w:color w:val="auto"/>
          <w:sz w:val="22"/>
          <w:highlight w:val="none"/>
        </w:rPr>
        <w:t>的，则提供企业法人委托书、授权委托人身份证及被授权人身份证</w:t>
      </w:r>
      <w:r>
        <w:rPr>
          <w:rFonts w:hint="eastAsia" w:cs="宋体"/>
          <w:color w:val="auto"/>
          <w:sz w:val="22"/>
          <w:highlight w:val="none"/>
          <w:lang w:val="en-US" w:eastAsia="zh-CN"/>
        </w:rPr>
        <w:t>原件扫描件</w:t>
      </w:r>
      <w:r>
        <w:rPr>
          <w:rFonts w:hint="eastAsia" w:ascii="宋体" w:hAnsi="宋体" w:eastAsia="宋体" w:cs="宋体"/>
          <w:color w:val="auto"/>
          <w:sz w:val="22"/>
          <w:highlight w:val="none"/>
        </w:rPr>
        <w:t>。</w:t>
      </w:r>
    </w:p>
    <w:p w14:paraId="3E8029AC">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5</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本项目不接受联合体磋商，成交后不得转包或分包（承诺文件见采购文件格式）。</w:t>
      </w:r>
    </w:p>
    <w:p w14:paraId="65CF430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 三、获取采购文件</w:t>
      </w:r>
    </w:p>
    <w:p w14:paraId="3F2FAE9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b w:val="0"/>
          <w:bCs w:val="0"/>
          <w:color w:val="auto"/>
          <w:highlight w:val="none"/>
        </w:rPr>
      </w:pPr>
      <w:r>
        <w:rPr>
          <w:rFonts w:hint="eastAsia" w:ascii="宋体" w:hAnsi="宋体" w:eastAsia="宋体" w:cs="宋体"/>
          <w:b w:val="0"/>
          <w:bCs w:val="0"/>
          <w:color w:val="auto"/>
          <w:sz w:val="22"/>
          <w:highlight w:val="none"/>
        </w:rPr>
        <w:t>1.时间：自磋商文件公告发布之日起5个工作日</w:t>
      </w:r>
    </w:p>
    <w:p w14:paraId="73EA749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sz w:val="22"/>
          <w:highlight w:val="none"/>
        </w:rPr>
        <w:t>.</w:t>
      </w:r>
      <w:r>
        <w:rPr>
          <w:rFonts w:hint="eastAsia" w:ascii="宋体" w:hAnsi="宋体" w:eastAsia="宋体" w:cs="宋体"/>
          <w:color w:val="auto"/>
          <w:highlight w:val="none"/>
          <w:lang w:eastAsia="zh-CN"/>
        </w:rPr>
        <w:t>地点</w:t>
      </w:r>
      <w:r>
        <w:rPr>
          <w:rFonts w:hint="eastAsia" w:ascii="宋体" w:hAnsi="宋体" w:eastAsia="宋体" w:cs="宋体"/>
          <w:color w:val="auto"/>
          <w:highlight w:val="none"/>
        </w:rPr>
        <w:t>：江苏政府采购网</w:t>
      </w:r>
      <w:r>
        <w:rPr>
          <w:rFonts w:hint="eastAsia" w:ascii="宋体" w:hAnsi="宋体" w:eastAsia="宋体" w:cs="宋体"/>
          <w:color w:val="auto"/>
          <w:highlight w:val="none"/>
          <w:lang w:eastAsia="zh-CN"/>
        </w:rPr>
        <w:t>；</w:t>
      </w:r>
    </w:p>
    <w:p w14:paraId="08C485D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r>
        <w:rPr>
          <w:rFonts w:hint="eastAsia" w:ascii="宋体" w:hAnsi="宋体" w:eastAsia="宋体" w:cs="宋体"/>
          <w:color w:val="auto"/>
          <w:sz w:val="22"/>
          <w:highlight w:val="none"/>
        </w:rPr>
        <w:t>.</w:t>
      </w:r>
      <w:r>
        <w:rPr>
          <w:rFonts w:hint="eastAsia" w:ascii="宋体" w:hAnsi="宋体" w:eastAsia="宋体" w:cs="宋体"/>
          <w:color w:val="auto"/>
          <w:highlight w:val="none"/>
          <w:lang w:val="en-US" w:eastAsia="zh-CN"/>
        </w:rPr>
        <w:t>方式：</w:t>
      </w:r>
      <w:r>
        <w:rPr>
          <w:rFonts w:hint="eastAsia" w:ascii="宋体" w:hAnsi="宋体" w:eastAsia="宋体" w:cs="宋体"/>
          <w:color w:val="auto"/>
          <w:highlight w:val="none"/>
          <w:lang w:eastAsia="zh-CN"/>
        </w:rPr>
        <w:t>供应商办理江苏省政府采购交易系统CA数字证书，登录“苏采云”政府采购交易系统，自行下载；</w:t>
      </w:r>
    </w:p>
    <w:p w14:paraId="1F64232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w:t>
      </w:r>
      <w:r>
        <w:rPr>
          <w:rFonts w:hint="eastAsia" w:ascii="宋体" w:hAnsi="宋体" w:eastAsia="宋体" w:cs="宋体"/>
          <w:color w:val="auto"/>
          <w:sz w:val="22"/>
          <w:highlight w:val="none"/>
        </w:rPr>
        <w:t>.</w:t>
      </w:r>
      <w:r>
        <w:rPr>
          <w:rFonts w:hint="eastAsia" w:ascii="宋体" w:hAnsi="宋体" w:eastAsia="宋体" w:cs="宋体"/>
          <w:color w:val="auto"/>
          <w:highlight w:val="none"/>
        </w:rPr>
        <w:t>售价：</w:t>
      </w:r>
      <w:r>
        <w:rPr>
          <w:rFonts w:hint="eastAsia" w:ascii="宋体" w:hAnsi="宋体" w:eastAsia="宋体" w:cs="宋体"/>
          <w:color w:val="auto"/>
          <w:highlight w:val="none"/>
          <w:lang w:val="en-US" w:eastAsia="zh-CN"/>
        </w:rPr>
        <w:t>0.00</w:t>
      </w:r>
      <w:r>
        <w:rPr>
          <w:rFonts w:hint="eastAsia" w:ascii="宋体" w:hAnsi="宋体" w:eastAsia="宋体" w:cs="宋体"/>
          <w:color w:val="auto"/>
          <w:highlight w:val="none"/>
        </w:rPr>
        <w:t>元。</w:t>
      </w:r>
    </w:p>
    <w:p w14:paraId="0EF9C0E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四、响应文件提交</w:t>
      </w:r>
    </w:p>
    <w:p w14:paraId="7574B2A3">
      <w:pPr>
        <w:pageBreakBefore w:val="0"/>
        <w:spacing w:line="360" w:lineRule="auto"/>
        <w:ind w:firstLine="480"/>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1</w:t>
      </w:r>
      <w:r>
        <w:rPr>
          <w:rFonts w:hint="eastAsia" w:ascii="宋体" w:hAnsi="宋体" w:eastAsia="宋体" w:cs="宋体"/>
          <w:b w:val="0"/>
          <w:bCs w:val="0"/>
          <w:color w:val="auto"/>
          <w:sz w:val="22"/>
          <w:highlight w:val="none"/>
        </w:rPr>
        <w:t>.</w:t>
      </w:r>
      <w:r>
        <w:rPr>
          <w:rFonts w:hint="eastAsia" w:ascii="宋体" w:hAnsi="宋体" w:eastAsia="宋体" w:cs="宋体"/>
          <w:color w:val="auto"/>
          <w:sz w:val="22"/>
          <w:szCs w:val="22"/>
          <w:highlight w:val="none"/>
          <w:lang w:eastAsia="zh-CN"/>
        </w:rPr>
        <w:t>电子响应文件递交截止时间：</w:t>
      </w:r>
    </w:p>
    <w:p w14:paraId="349148E9">
      <w:pPr>
        <w:pageBreakBefore w:val="0"/>
        <w:spacing w:line="360" w:lineRule="auto"/>
        <w:ind w:firstLine="480"/>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时间：</w:t>
      </w:r>
      <w:r>
        <w:rPr>
          <w:rFonts w:hint="eastAsia" w:ascii="宋体" w:hAnsi="宋体" w:eastAsia="宋体" w:cs="宋体"/>
          <w:b/>
          <w:bCs/>
          <w:color w:val="auto"/>
          <w:sz w:val="22"/>
          <w:szCs w:val="22"/>
          <w:highlight w:val="none"/>
          <w:u w:val="single"/>
          <w:lang w:eastAsia="zh-CN"/>
        </w:rPr>
        <w:t>2025年</w:t>
      </w:r>
      <w:r>
        <w:rPr>
          <w:rFonts w:hint="eastAsia" w:cs="宋体"/>
          <w:b/>
          <w:bCs/>
          <w:color w:val="auto"/>
          <w:sz w:val="22"/>
          <w:szCs w:val="22"/>
          <w:highlight w:val="none"/>
          <w:u w:val="single"/>
          <w:lang w:val="en-US" w:eastAsia="zh-CN"/>
        </w:rPr>
        <w:t>12</w:t>
      </w:r>
      <w:r>
        <w:rPr>
          <w:rFonts w:hint="eastAsia" w:ascii="宋体" w:hAnsi="宋体" w:eastAsia="宋体" w:cs="宋体"/>
          <w:b/>
          <w:bCs/>
          <w:color w:val="auto"/>
          <w:sz w:val="22"/>
          <w:szCs w:val="22"/>
          <w:highlight w:val="none"/>
          <w:u w:val="single"/>
          <w:lang w:val="en-US" w:eastAsia="zh-CN"/>
        </w:rPr>
        <w:t>月</w:t>
      </w:r>
      <w:r>
        <w:rPr>
          <w:rFonts w:hint="eastAsia" w:cs="宋体"/>
          <w:b/>
          <w:bCs/>
          <w:color w:val="auto"/>
          <w:sz w:val="22"/>
          <w:szCs w:val="22"/>
          <w:highlight w:val="none"/>
          <w:u w:val="single"/>
          <w:lang w:val="en-US" w:eastAsia="zh-CN"/>
        </w:rPr>
        <w:t>09</w:t>
      </w:r>
      <w:r>
        <w:rPr>
          <w:rFonts w:hint="eastAsia" w:ascii="宋体" w:hAnsi="宋体" w:eastAsia="宋体" w:cs="宋体"/>
          <w:b/>
          <w:bCs/>
          <w:color w:val="auto"/>
          <w:sz w:val="22"/>
          <w:szCs w:val="22"/>
          <w:highlight w:val="none"/>
          <w:u w:val="single"/>
          <w:lang w:val="en-US" w:eastAsia="zh-CN"/>
        </w:rPr>
        <w:t>日</w:t>
      </w:r>
      <w:r>
        <w:rPr>
          <w:rFonts w:hint="eastAsia" w:cs="宋体"/>
          <w:b/>
          <w:bCs/>
          <w:color w:val="auto"/>
          <w:sz w:val="22"/>
          <w:szCs w:val="22"/>
          <w:highlight w:val="none"/>
          <w:u w:val="single"/>
          <w:lang w:val="en-US" w:eastAsia="zh-CN"/>
        </w:rPr>
        <w:t>09</w:t>
      </w:r>
      <w:r>
        <w:rPr>
          <w:rFonts w:hint="eastAsia" w:ascii="宋体" w:hAnsi="宋体" w:eastAsia="宋体" w:cs="宋体"/>
          <w:b/>
          <w:bCs/>
          <w:color w:val="auto"/>
          <w:sz w:val="22"/>
          <w:szCs w:val="22"/>
          <w:highlight w:val="none"/>
          <w:u w:val="single"/>
          <w:lang w:eastAsia="zh-CN"/>
        </w:rPr>
        <w:t>时</w:t>
      </w:r>
      <w:r>
        <w:rPr>
          <w:rFonts w:hint="eastAsia" w:ascii="宋体" w:hAnsi="宋体" w:eastAsia="宋体" w:cs="宋体"/>
          <w:b/>
          <w:bCs/>
          <w:color w:val="auto"/>
          <w:sz w:val="22"/>
          <w:szCs w:val="22"/>
          <w:highlight w:val="none"/>
          <w:u w:val="single"/>
          <w:lang w:val="en-US" w:eastAsia="zh-CN"/>
        </w:rPr>
        <w:t>00</w:t>
      </w:r>
      <w:r>
        <w:rPr>
          <w:rFonts w:hint="eastAsia" w:ascii="宋体" w:hAnsi="宋体" w:eastAsia="宋体" w:cs="宋体"/>
          <w:b/>
          <w:bCs/>
          <w:color w:val="auto"/>
          <w:sz w:val="22"/>
          <w:szCs w:val="22"/>
          <w:highlight w:val="none"/>
          <w:u w:val="single"/>
          <w:lang w:eastAsia="zh-CN"/>
        </w:rPr>
        <w:t>分</w:t>
      </w:r>
      <w:r>
        <w:rPr>
          <w:rFonts w:hint="eastAsia" w:cs="宋体"/>
          <w:b/>
          <w:bCs/>
          <w:color w:val="auto"/>
          <w:sz w:val="22"/>
          <w:szCs w:val="22"/>
          <w:highlight w:val="none"/>
          <w:u w:val="single"/>
          <w:lang w:val="en-US" w:eastAsia="zh-CN"/>
        </w:rPr>
        <w:t>00秒</w:t>
      </w:r>
      <w:r>
        <w:rPr>
          <w:rFonts w:hint="eastAsia" w:ascii="宋体" w:hAnsi="宋体" w:eastAsia="宋体" w:cs="宋体"/>
          <w:b w:val="0"/>
          <w:bCs w:val="0"/>
          <w:color w:val="auto"/>
          <w:sz w:val="22"/>
          <w:szCs w:val="22"/>
          <w:highlight w:val="none"/>
          <w:u w:val="none"/>
          <w:lang w:eastAsia="zh-CN"/>
        </w:rPr>
        <w:t>（北京时间）</w:t>
      </w:r>
    </w:p>
    <w:p w14:paraId="5DD070A1">
      <w:pPr>
        <w:pageBreakBefore w:val="0"/>
        <w:numPr>
          <w:ilvl w:val="0"/>
          <w:numId w:val="0"/>
        </w:numPr>
        <w:spacing w:line="360" w:lineRule="auto"/>
        <w:ind w:left="0" w:firstLine="480"/>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bidi="ar-SA"/>
        </w:rPr>
        <w:t>2</w:t>
      </w:r>
      <w:r>
        <w:rPr>
          <w:rFonts w:hint="eastAsia" w:ascii="宋体" w:hAnsi="宋体" w:eastAsia="宋体" w:cs="宋体"/>
          <w:b w:val="0"/>
          <w:bCs w:val="0"/>
          <w:color w:val="auto"/>
          <w:sz w:val="22"/>
          <w:highlight w:val="none"/>
        </w:rPr>
        <w:t>.</w:t>
      </w:r>
      <w:r>
        <w:rPr>
          <w:rFonts w:hint="eastAsia" w:ascii="宋体" w:hAnsi="宋体" w:eastAsia="宋体" w:cs="宋体"/>
          <w:color w:val="auto"/>
          <w:sz w:val="22"/>
          <w:szCs w:val="22"/>
          <w:highlight w:val="none"/>
          <w:lang w:eastAsia="zh-CN"/>
        </w:rPr>
        <w:t>开启时间：</w:t>
      </w:r>
    </w:p>
    <w:p w14:paraId="02626846">
      <w:pPr>
        <w:pageBreakBefore w:val="0"/>
        <w:spacing w:line="360" w:lineRule="auto"/>
        <w:ind w:firstLine="480"/>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时间：</w:t>
      </w:r>
      <w:r>
        <w:rPr>
          <w:rFonts w:hint="eastAsia" w:ascii="宋体" w:hAnsi="宋体" w:eastAsia="宋体" w:cs="宋体"/>
          <w:b/>
          <w:bCs/>
          <w:color w:val="auto"/>
          <w:sz w:val="22"/>
          <w:szCs w:val="22"/>
          <w:highlight w:val="none"/>
          <w:u w:val="single"/>
          <w:lang w:eastAsia="zh-CN"/>
        </w:rPr>
        <w:t>2025年</w:t>
      </w:r>
      <w:r>
        <w:rPr>
          <w:rFonts w:hint="eastAsia" w:cs="宋体"/>
          <w:b/>
          <w:bCs/>
          <w:color w:val="auto"/>
          <w:sz w:val="22"/>
          <w:szCs w:val="22"/>
          <w:highlight w:val="none"/>
          <w:u w:val="single"/>
          <w:lang w:val="en-US" w:eastAsia="zh-CN"/>
        </w:rPr>
        <w:t>12</w:t>
      </w:r>
      <w:r>
        <w:rPr>
          <w:rFonts w:hint="eastAsia" w:ascii="宋体" w:hAnsi="宋体" w:eastAsia="宋体" w:cs="宋体"/>
          <w:b/>
          <w:bCs/>
          <w:color w:val="auto"/>
          <w:sz w:val="22"/>
          <w:szCs w:val="22"/>
          <w:highlight w:val="none"/>
          <w:u w:val="single"/>
          <w:lang w:val="en-US" w:eastAsia="zh-CN"/>
        </w:rPr>
        <w:t>月</w:t>
      </w:r>
      <w:r>
        <w:rPr>
          <w:rFonts w:hint="eastAsia" w:cs="宋体"/>
          <w:b/>
          <w:bCs/>
          <w:color w:val="auto"/>
          <w:sz w:val="22"/>
          <w:szCs w:val="22"/>
          <w:highlight w:val="none"/>
          <w:u w:val="single"/>
          <w:lang w:val="en-US" w:eastAsia="zh-CN"/>
        </w:rPr>
        <w:t>09</w:t>
      </w:r>
      <w:r>
        <w:rPr>
          <w:rFonts w:hint="eastAsia" w:ascii="宋体" w:hAnsi="宋体" w:eastAsia="宋体" w:cs="宋体"/>
          <w:b/>
          <w:bCs/>
          <w:color w:val="auto"/>
          <w:sz w:val="22"/>
          <w:szCs w:val="22"/>
          <w:highlight w:val="none"/>
          <w:u w:val="single"/>
          <w:lang w:val="en-US" w:eastAsia="zh-CN"/>
        </w:rPr>
        <w:t>日</w:t>
      </w:r>
      <w:r>
        <w:rPr>
          <w:rFonts w:hint="eastAsia" w:cs="宋体"/>
          <w:b/>
          <w:bCs/>
          <w:color w:val="auto"/>
          <w:sz w:val="22"/>
          <w:szCs w:val="22"/>
          <w:highlight w:val="none"/>
          <w:u w:val="single"/>
          <w:lang w:val="en-US" w:eastAsia="zh-CN"/>
        </w:rPr>
        <w:t>09</w:t>
      </w:r>
      <w:r>
        <w:rPr>
          <w:rFonts w:hint="eastAsia" w:ascii="宋体" w:hAnsi="宋体" w:eastAsia="宋体" w:cs="宋体"/>
          <w:b/>
          <w:bCs/>
          <w:color w:val="auto"/>
          <w:sz w:val="22"/>
          <w:szCs w:val="22"/>
          <w:highlight w:val="none"/>
          <w:u w:val="single"/>
          <w:lang w:eastAsia="zh-CN"/>
        </w:rPr>
        <w:t>时</w:t>
      </w:r>
      <w:r>
        <w:rPr>
          <w:rFonts w:hint="eastAsia" w:ascii="宋体" w:hAnsi="宋体" w:eastAsia="宋体" w:cs="宋体"/>
          <w:b/>
          <w:bCs/>
          <w:color w:val="auto"/>
          <w:sz w:val="22"/>
          <w:szCs w:val="22"/>
          <w:highlight w:val="none"/>
          <w:u w:val="single"/>
          <w:lang w:val="en-US" w:eastAsia="zh-CN"/>
        </w:rPr>
        <w:t>00</w:t>
      </w:r>
      <w:r>
        <w:rPr>
          <w:rFonts w:hint="eastAsia" w:ascii="宋体" w:hAnsi="宋体" w:eastAsia="宋体" w:cs="宋体"/>
          <w:b/>
          <w:bCs/>
          <w:color w:val="auto"/>
          <w:sz w:val="22"/>
          <w:szCs w:val="22"/>
          <w:highlight w:val="none"/>
          <w:u w:val="single"/>
          <w:lang w:eastAsia="zh-CN"/>
        </w:rPr>
        <w:t>分</w:t>
      </w:r>
      <w:r>
        <w:rPr>
          <w:rFonts w:hint="eastAsia" w:cs="宋体"/>
          <w:b/>
          <w:bCs/>
          <w:color w:val="auto"/>
          <w:sz w:val="22"/>
          <w:szCs w:val="22"/>
          <w:highlight w:val="none"/>
          <w:u w:val="single"/>
          <w:lang w:val="en-US" w:eastAsia="zh-CN"/>
        </w:rPr>
        <w:t>00秒</w:t>
      </w:r>
      <w:r>
        <w:rPr>
          <w:rFonts w:hint="eastAsia" w:ascii="宋体" w:hAnsi="宋体" w:eastAsia="宋体" w:cs="宋体"/>
          <w:color w:val="auto"/>
          <w:sz w:val="22"/>
          <w:szCs w:val="22"/>
          <w:highlight w:val="none"/>
          <w:lang w:eastAsia="zh-CN"/>
        </w:rPr>
        <w:t>（北京时间）</w:t>
      </w:r>
    </w:p>
    <w:p w14:paraId="36AB5A5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0"/>
        <w:jc w:val="both"/>
        <w:textAlignment w:val="auto"/>
        <w:outlineLvl w:val="9"/>
        <w:rPr>
          <w:rFonts w:hint="eastAsia" w:ascii="宋体" w:hAnsi="宋体" w:eastAsia="宋体" w:cs="宋体"/>
          <w:color w:val="auto"/>
          <w:sz w:val="22"/>
          <w:szCs w:val="22"/>
          <w:highlight w:val="none"/>
          <w:lang w:eastAsia="zh-CN"/>
        </w:rPr>
      </w:pPr>
      <w:r>
        <w:rPr>
          <w:rFonts w:hint="eastAsia" w:ascii="宋体" w:hAnsi="宋体" w:eastAsia="宋体" w:cs="宋体"/>
          <w:b/>
          <w:bCs/>
          <w:color w:val="auto"/>
          <w:sz w:val="22"/>
          <w:szCs w:val="22"/>
          <w:highlight w:val="none"/>
          <w:lang w:eastAsia="zh-CN"/>
        </w:rPr>
        <w:t>注：</w:t>
      </w:r>
      <w:r>
        <w:rPr>
          <w:rFonts w:hint="eastAsia" w:ascii="宋体" w:hAnsi="宋体" w:eastAsia="宋体" w:cs="宋体"/>
          <w:color w:val="auto"/>
          <w:sz w:val="22"/>
          <w:szCs w:val="22"/>
          <w:highlight w:val="none"/>
          <w:lang w:eastAsia="zh-CN"/>
        </w:rPr>
        <w:t>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bCs/>
          <w:color w:val="auto"/>
          <w:sz w:val="22"/>
          <w:szCs w:val="22"/>
          <w:highlight w:val="none"/>
          <w:lang w:eastAsia="zh-CN"/>
        </w:rPr>
        <w:t>20分钟</w:t>
      </w:r>
      <w:r>
        <w:rPr>
          <w:rFonts w:hint="eastAsia" w:ascii="宋体" w:hAnsi="宋体" w:eastAsia="宋体" w:cs="宋体"/>
          <w:color w:val="auto"/>
          <w:sz w:val="22"/>
          <w:szCs w:val="22"/>
          <w:highlight w:val="none"/>
          <w:lang w:eastAsia="zh-CN"/>
        </w:rPr>
        <w:t>内填写并提交最后报价，</w:t>
      </w:r>
      <w:r>
        <w:rPr>
          <w:rFonts w:hint="eastAsia" w:ascii="宋体" w:hAnsi="宋体" w:eastAsia="宋体" w:cs="宋体"/>
          <w:b/>
          <w:bCs/>
          <w:color w:val="auto"/>
          <w:sz w:val="22"/>
          <w:szCs w:val="22"/>
          <w:highlight w:val="none"/>
          <w:lang w:eastAsia="zh-CN"/>
        </w:rPr>
        <w:t>未在磋商小组规定的时间内完成最后报价的视为放弃磋商，其磋商响应按无效响应处理。</w:t>
      </w:r>
    </w:p>
    <w:p w14:paraId="165D84D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0"/>
        <w:jc w:val="both"/>
        <w:textAlignment w:val="auto"/>
        <w:outlineLvl w:val="9"/>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3</w:t>
      </w:r>
      <w:r>
        <w:rPr>
          <w:rFonts w:hint="eastAsia" w:ascii="宋体" w:hAnsi="宋体" w:eastAsia="宋体" w:cs="宋体"/>
          <w:b w:val="0"/>
          <w:bCs w:val="0"/>
          <w:color w:val="auto"/>
          <w:sz w:val="22"/>
          <w:highlight w:val="none"/>
        </w:rPr>
        <w:t>.</w:t>
      </w:r>
      <w:r>
        <w:rPr>
          <w:rFonts w:hint="eastAsia" w:ascii="宋体" w:hAnsi="宋体" w:eastAsia="宋体" w:cs="宋体"/>
          <w:color w:val="auto"/>
          <w:sz w:val="22"/>
          <w:szCs w:val="22"/>
          <w:highlight w:val="none"/>
          <w:lang w:eastAsia="zh-CN"/>
        </w:rPr>
        <w:t>线上开标地点：“苏采云”系统（网址：http://jszfcg.jsczt.cn/）“开标大厅”。</w:t>
      </w:r>
    </w:p>
    <w:p w14:paraId="79749E8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2"/>
          <w:szCs w:val="22"/>
          <w:highlight w:val="none"/>
          <w:lang w:eastAsia="zh-CN"/>
        </w:rPr>
        <w:t>4</w:t>
      </w:r>
      <w:r>
        <w:rPr>
          <w:rFonts w:hint="eastAsia" w:ascii="宋体" w:hAnsi="宋体" w:eastAsia="宋体" w:cs="宋体"/>
          <w:b w:val="0"/>
          <w:bCs w:val="0"/>
          <w:color w:val="auto"/>
          <w:sz w:val="22"/>
          <w:highlight w:val="none"/>
        </w:rPr>
        <w:t>.</w:t>
      </w:r>
      <w:r>
        <w:rPr>
          <w:rFonts w:hint="eastAsia" w:ascii="宋体" w:hAnsi="宋体" w:eastAsia="宋体" w:cs="宋体"/>
          <w:color w:val="auto"/>
          <w:sz w:val="22"/>
          <w:szCs w:val="22"/>
          <w:highlight w:val="none"/>
          <w:lang w:eastAsia="zh-CN"/>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auto"/>
          <w:sz w:val="22"/>
          <w:szCs w:val="22"/>
          <w:highlight w:val="none"/>
          <w:lang w:eastAsia="zh-CN"/>
        </w:rPr>
        <w:t>投标供应商解密限定在开标后30分钟之内完成</w:t>
      </w:r>
      <w:r>
        <w:rPr>
          <w:rFonts w:hint="eastAsia" w:ascii="宋体" w:hAnsi="宋体" w:eastAsia="宋体" w:cs="宋体"/>
          <w:color w:val="auto"/>
          <w:sz w:val="22"/>
          <w:szCs w:val="22"/>
          <w:highlight w:val="none"/>
          <w:lang w:eastAsia="zh-CN"/>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62B2ED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五、公告期限</w:t>
      </w:r>
      <w:r>
        <w:rPr>
          <w:rFonts w:hint="eastAsia" w:ascii="宋体" w:hAnsi="宋体" w:eastAsia="宋体" w:cs="宋体"/>
          <w:b/>
          <w:color w:val="auto"/>
          <w:sz w:val="22"/>
          <w:highlight w:val="none"/>
          <w:lang w:val="en-US" w:eastAsia="zh-CN"/>
        </w:rPr>
        <w:t>及媒介</w:t>
      </w:r>
    </w:p>
    <w:p w14:paraId="78E648A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right="0" w:firstLine="440" w:firstLineChars="200"/>
        <w:jc w:val="both"/>
        <w:rPr>
          <w:rFonts w:hint="eastAsia" w:ascii="宋体" w:hAnsi="宋体" w:eastAsia="宋体" w:cs="宋体"/>
          <w:color w:val="auto"/>
          <w:highlight w:val="none"/>
        </w:rPr>
      </w:pPr>
      <w:r>
        <w:rPr>
          <w:rFonts w:hint="eastAsia" w:ascii="宋体" w:hAnsi="宋体" w:eastAsia="宋体" w:cs="宋体"/>
          <w:color w:val="auto"/>
          <w:sz w:val="22"/>
          <w:highlight w:val="none"/>
        </w:rPr>
        <w:t>1.</w:t>
      </w:r>
      <w:r>
        <w:rPr>
          <w:rFonts w:hint="eastAsia" w:ascii="宋体" w:hAnsi="宋体" w:eastAsia="宋体" w:cs="宋体"/>
          <w:color w:val="auto"/>
          <w:sz w:val="22"/>
          <w:highlight w:val="none"/>
          <w:lang w:val="en-US" w:eastAsia="zh-CN"/>
        </w:rPr>
        <w:t>公告期限：自本公告发布之日起 3个工作日</w:t>
      </w:r>
      <w:r>
        <w:rPr>
          <w:rFonts w:hint="eastAsia" w:cs="宋体"/>
          <w:color w:val="auto"/>
          <w:sz w:val="22"/>
          <w:highlight w:val="none"/>
          <w:lang w:eastAsia="zh-CN"/>
        </w:rPr>
        <w:t>。</w:t>
      </w:r>
    </w:p>
    <w:p w14:paraId="1C7C848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right="0" w:firstLine="440"/>
        <w:jc w:val="both"/>
        <w:rPr>
          <w:rFonts w:hint="eastAsia" w:ascii="宋体" w:hAnsi="宋体" w:eastAsia="宋体" w:cs="宋体"/>
          <w:color w:val="auto"/>
          <w:highlight w:val="none"/>
        </w:rPr>
      </w:pPr>
      <w:r>
        <w:rPr>
          <w:rFonts w:hint="eastAsia" w:ascii="宋体" w:hAnsi="宋体" w:eastAsia="宋体" w:cs="宋体"/>
          <w:color w:val="auto"/>
          <w:sz w:val="22"/>
          <w:highlight w:val="none"/>
        </w:rPr>
        <w:t>2.</w:t>
      </w:r>
      <w:bookmarkStart w:id="0" w:name="_Toc11103"/>
      <w:bookmarkStart w:id="1" w:name="_Toc16781"/>
      <w:bookmarkStart w:id="2" w:name="_Toc2476"/>
      <w:r>
        <w:rPr>
          <w:rFonts w:hint="eastAsia" w:ascii="宋体" w:hAnsi="宋体" w:eastAsia="宋体" w:cs="宋体"/>
          <w:color w:val="auto"/>
          <w:sz w:val="22"/>
          <w:highlight w:val="none"/>
          <w:lang w:val="en-US" w:eastAsia="zh-CN"/>
        </w:rPr>
        <w:t>发布媒介：本次采购公告在</w:t>
      </w:r>
      <w:r>
        <w:rPr>
          <w:rFonts w:hint="eastAsia" w:ascii="宋体" w:hAnsi="宋体" w:eastAsia="宋体" w:cs="宋体"/>
          <w:color w:val="auto"/>
          <w:sz w:val="22"/>
          <w:highlight w:val="none"/>
        </w:rPr>
        <w:t>江苏政府采购网</w:t>
      </w:r>
      <w:r>
        <w:rPr>
          <w:rFonts w:hint="eastAsia" w:ascii="宋体" w:hAnsi="宋体" w:eastAsia="宋体" w:cs="宋体"/>
          <w:color w:val="auto"/>
          <w:sz w:val="22"/>
          <w:highlight w:val="none"/>
          <w:lang w:val="en-US" w:eastAsia="zh-CN"/>
        </w:rPr>
        <w:t>发布。</w:t>
      </w:r>
      <w:bookmarkEnd w:id="0"/>
      <w:bookmarkEnd w:id="1"/>
      <w:bookmarkEnd w:id="2"/>
    </w:p>
    <w:p w14:paraId="32E3FED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400" w:lineRule="exact"/>
        <w:rPr>
          <w:rFonts w:hint="eastAsia" w:ascii="宋体" w:hAnsi="宋体" w:eastAsia="宋体" w:cs="宋体"/>
          <w:color w:val="auto"/>
          <w:highlight w:val="none"/>
        </w:rPr>
      </w:pPr>
      <w:r>
        <w:rPr>
          <w:rFonts w:hint="eastAsia" w:cs="宋体"/>
          <w:b/>
          <w:color w:val="auto"/>
          <w:sz w:val="22"/>
          <w:highlight w:val="none"/>
          <w:lang w:val="en-US" w:eastAsia="zh-CN"/>
        </w:rPr>
        <w:t>六</w:t>
      </w:r>
      <w:r>
        <w:rPr>
          <w:rFonts w:hint="eastAsia" w:ascii="宋体" w:hAnsi="宋体" w:eastAsia="宋体" w:cs="宋体"/>
          <w:b/>
          <w:color w:val="auto"/>
          <w:sz w:val="22"/>
          <w:highlight w:val="none"/>
          <w:lang w:val="en-US" w:eastAsia="zh-CN"/>
        </w:rPr>
        <w:t>、</w:t>
      </w:r>
      <w:r>
        <w:rPr>
          <w:rFonts w:hint="eastAsia" w:ascii="宋体" w:hAnsi="宋体" w:eastAsia="宋体" w:cs="宋体"/>
          <w:b/>
          <w:color w:val="auto"/>
          <w:sz w:val="22"/>
          <w:highlight w:val="none"/>
        </w:rPr>
        <w:t>其他补充事宜</w:t>
      </w:r>
    </w:p>
    <w:p w14:paraId="6C9C95E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2"/>
          <w:highlight w:val="none"/>
        </w:rPr>
        <w:t>1.磋商保证金：本项目不收磋商保证金，采购文件中涉及磋商保证金的事项，均按免收磋商保证金执行。</w:t>
      </w:r>
    </w:p>
    <w:p w14:paraId="696A0C0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2"/>
          <w:highlight w:val="none"/>
        </w:rPr>
        <w:t>2.项目磋商活动模式：不见面远程开标模式，供应商在各自地点通过不见面交易系统参加开标会。</w:t>
      </w:r>
      <w:r>
        <w:rPr>
          <w:rFonts w:hint="eastAsia" w:ascii="宋体" w:hAnsi="宋体" w:eastAsia="宋体" w:cs="宋体"/>
          <w:color w:val="auto"/>
          <w:sz w:val="21"/>
          <w:highlight w:val="none"/>
        </w:rPr>
        <w:t xml:space="preserve"> </w:t>
      </w:r>
    </w:p>
    <w:p w14:paraId="517BE98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0"/>
        <w:jc w:val="both"/>
        <w:rPr>
          <w:rFonts w:hint="eastAsia" w:ascii="宋体" w:hAnsi="宋体" w:eastAsia="宋体" w:cs="宋体"/>
          <w:color w:val="auto"/>
          <w:highlight w:val="none"/>
        </w:rPr>
      </w:pPr>
      <w:r>
        <w:rPr>
          <w:rFonts w:hint="eastAsia" w:cs="宋体"/>
          <w:color w:val="auto"/>
          <w:sz w:val="22"/>
          <w:highlight w:val="none"/>
          <w:lang w:val="en-US" w:eastAsia="zh-CN"/>
        </w:rPr>
        <w:t>3</w:t>
      </w:r>
      <w:r>
        <w:rPr>
          <w:rFonts w:hint="eastAsia" w:ascii="宋体" w:hAnsi="宋体" w:eastAsia="宋体" w:cs="宋体"/>
          <w:color w:val="auto"/>
          <w:sz w:val="22"/>
          <w:highlight w:val="none"/>
        </w:rPr>
        <w:t>.</w:t>
      </w:r>
      <w:r>
        <w:rPr>
          <w:rFonts w:hint="eastAsia" w:ascii="宋体" w:hAnsi="宋体" w:eastAsia="宋体" w:cs="宋体"/>
          <w:b/>
          <w:color w:val="auto"/>
          <w:sz w:val="22"/>
          <w:highlight w:val="none"/>
        </w:rPr>
        <w:t>请各供应商充分考虑项目周期，谨慎参与交易，成交后不得以任何理由放弃成交资格或不按规定履约。</w:t>
      </w:r>
    </w:p>
    <w:p w14:paraId="3828830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cs="宋体"/>
          <w:color w:val="auto"/>
          <w:sz w:val="22"/>
          <w:highlight w:val="none"/>
          <w:lang w:val="en-US" w:eastAsia="zh-CN"/>
        </w:rPr>
        <w:t>4.</w:t>
      </w:r>
      <w:r>
        <w:rPr>
          <w:rFonts w:hint="eastAsia" w:ascii="宋体" w:hAnsi="宋体" w:eastAsia="宋体" w:cs="宋体"/>
          <w:color w:val="auto"/>
          <w:sz w:val="22"/>
          <w:highlight w:val="none"/>
        </w:rPr>
        <w:t>本磋商文件中标注★的款项为实质性响应要求和条件，如不满足将按无效响应文件处理。</w:t>
      </w:r>
    </w:p>
    <w:p w14:paraId="6309494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cs="宋体"/>
          <w:color w:val="auto"/>
          <w:sz w:val="22"/>
          <w:highlight w:val="none"/>
          <w:lang w:val="en-US" w:eastAsia="zh-CN"/>
        </w:rPr>
        <w:t>5</w:t>
      </w:r>
      <w:r>
        <w:rPr>
          <w:rFonts w:hint="eastAsia" w:ascii="宋体" w:hAnsi="宋体" w:eastAsia="宋体" w:cs="宋体"/>
          <w:color w:val="auto"/>
          <w:sz w:val="22"/>
          <w:highlight w:val="none"/>
        </w:rPr>
        <w:t>.无论出于何种原因，采购人在采购活动开始前可对采购文件进行修改、补充或变更，其内容作为采购文件的重要组成部分，请各供应商关注</w:t>
      </w:r>
      <w:r>
        <w:rPr>
          <w:rFonts w:hint="eastAsia" w:ascii="宋体" w:hAnsi="宋体" w:eastAsia="宋体" w:cs="宋体"/>
          <w:b/>
          <w:color w:val="auto"/>
          <w:sz w:val="22"/>
          <w:highlight w:val="none"/>
        </w:rPr>
        <w:t>江苏政府采购网</w:t>
      </w:r>
      <w:r>
        <w:rPr>
          <w:rFonts w:hint="eastAsia" w:ascii="宋体" w:hAnsi="宋体" w:eastAsia="宋体" w:cs="宋体"/>
          <w:color w:val="auto"/>
          <w:sz w:val="22"/>
          <w:highlight w:val="none"/>
        </w:rPr>
        <w:t>网站。若因供应商自身原因未及时关注本项目有关修改、补充或变更信息，导致</w:t>
      </w:r>
      <w:r>
        <w:rPr>
          <w:rFonts w:hint="eastAsia" w:cs="宋体"/>
          <w:color w:val="auto"/>
          <w:sz w:val="22"/>
          <w:highlight w:val="none"/>
          <w:lang w:val="en-US" w:eastAsia="zh-CN"/>
        </w:rPr>
        <w:t>响应</w:t>
      </w:r>
      <w:r>
        <w:rPr>
          <w:rFonts w:hint="eastAsia" w:ascii="宋体" w:hAnsi="宋体" w:eastAsia="宋体" w:cs="宋体"/>
          <w:color w:val="auto"/>
          <w:sz w:val="22"/>
          <w:highlight w:val="none"/>
        </w:rPr>
        <w:t>文件编制或提交失误，由此造成的一切损失由供应商自行承担。</w:t>
      </w:r>
    </w:p>
    <w:p w14:paraId="3D3E72C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sz w:val="22"/>
          <w:highlight w:val="none"/>
        </w:rPr>
      </w:pPr>
      <w:r>
        <w:rPr>
          <w:rFonts w:hint="eastAsia" w:cs="宋体"/>
          <w:color w:val="auto"/>
          <w:sz w:val="22"/>
          <w:highlight w:val="none"/>
          <w:lang w:val="en-US" w:eastAsia="zh-CN"/>
        </w:rPr>
        <w:t>6</w:t>
      </w:r>
      <w:r>
        <w:rPr>
          <w:rFonts w:hint="eastAsia" w:ascii="宋体" w:hAnsi="宋体" w:eastAsia="宋体" w:cs="宋体"/>
          <w:color w:val="auto"/>
          <w:sz w:val="22"/>
          <w:highlight w:val="none"/>
        </w:rPr>
        <w:t>.对于制作工具中要求的且必填的项目，请供应商按实填写；供应商制作响应文件时如遇投标工具中响应格式与</w:t>
      </w:r>
      <w:r>
        <w:rPr>
          <w:rFonts w:hint="eastAsia" w:cs="宋体"/>
          <w:color w:val="auto"/>
          <w:sz w:val="22"/>
          <w:highlight w:val="none"/>
          <w:lang w:val="en-US" w:eastAsia="zh-CN"/>
        </w:rPr>
        <w:t>采购</w:t>
      </w:r>
      <w:r>
        <w:rPr>
          <w:rFonts w:hint="eastAsia" w:ascii="宋体" w:hAnsi="宋体" w:eastAsia="宋体" w:cs="宋体"/>
          <w:color w:val="auto"/>
          <w:sz w:val="22"/>
          <w:highlight w:val="none"/>
        </w:rPr>
        <w:t>文件不一致，请供应商按照</w:t>
      </w:r>
      <w:r>
        <w:rPr>
          <w:rFonts w:hint="eastAsia" w:cs="宋体"/>
          <w:color w:val="auto"/>
          <w:sz w:val="22"/>
          <w:highlight w:val="none"/>
          <w:lang w:val="en-US" w:eastAsia="zh-CN"/>
        </w:rPr>
        <w:t>采购</w:t>
      </w:r>
      <w:r>
        <w:rPr>
          <w:rFonts w:hint="eastAsia" w:ascii="宋体" w:hAnsi="宋体" w:eastAsia="宋体" w:cs="宋体"/>
          <w:color w:val="auto"/>
          <w:sz w:val="22"/>
          <w:highlight w:val="none"/>
        </w:rPr>
        <w:t>文件中响应文件的格式要求编制，如因供应商未按要求执行造成的一切后果（包括废标）均由供应商自行承担。</w:t>
      </w:r>
    </w:p>
    <w:p w14:paraId="6DAB0B7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八、凡对本次采购提出询问，请按以下方式联系</w:t>
      </w:r>
    </w:p>
    <w:p w14:paraId="095C9F0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1.采购人信息</w:t>
      </w:r>
    </w:p>
    <w:p w14:paraId="5E07992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名称：</w:t>
      </w:r>
      <w:r>
        <w:rPr>
          <w:rFonts w:hint="eastAsia" w:cs="宋体"/>
          <w:color w:val="auto"/>
          <w:sz w:val="22"/>
          <w:highlight w:val="none"/>
          <w:lang w:eastAsia="zh-CN"/>
        </w:rPr>
        <w:t>赣榆区墩尚镇人民政府</w:t>
      </w:r>
    </w:p>
    <w:p w14:paraId="454B16A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地址：</w:t>
      </w:r>
      <w:r>
        <w:rPr>
          <w:rFonts w:hint="eastAsia" w:cs="宋体"/>
          <w:color w:val="auto"/>
          <w:sz w:val="22"/>
          <w:highlight w:val="none"/>
          <w:lang w:eastAsia="zh-CN"/>
        </w:rPr>
        <w:t>赣榆区墩尚镇驻地</w:t>
      </w:r>
    </w:p>
    <w:p w14:paraId="0C2C3F1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联 系 人：</w:t>
      </w:r>
      <w:r>
        <w:rPr>
          <w:rFonts w:hint="eastAsia" w:ascii="宋体" w:hAnsi="宋体" w:eastAsia="宋体" w:cs="宋体"/>
          <w:color w:val="auto"/>
          <w:sz w:val="22"/>
          <w:highlight w:val="none"/>
          <w:lang w:val="en-US" w:eastAsia="zh-CN"/>
        </w:rPr>
        <w:t>董主任</w:t>
      </w:r>
      <w:r>
        <w:rPr>
          <w:rFonts w:hint="eastAsia" w:ascii="宋体" w:hAnsi="宋体" w:eastAsia="宋体" w:cs="宋体"/>
          <w:color w:val="auto"/>
          <w:sz w:val="22"/>
          <w:highlight w:val="none"/>
        </w:rPr>
        <w:t xml:space="preserve">  </w:t>
      </w:r>
    </w:p>
    <w:p w14:paraId="6D5E487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联系方式：</w:t>
      </w:r>
      <w:r>
        <w:rPr>
          <w:rFonts w:hint="eastAsia" w:cs="Times New Roman"/>
          <w:color w:val="auto"/>
          <w:sz w:val="21"/>
          <w:szCs w:val="21"/>
          <w:highlight w:val="none"/>
          <w:lang w:val="en-US" w:eastAsia="zh-CN"/>
        </w:rPr>
        <w:t>18795561199</w:t>
      </w:r>
    </w:p>
    <w:p w14:paraId="106EB09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2.采购代理机构信息</w:t>
      </w:r>
    </w:p>
    <w:p w14:paraId="32BF468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名称：</w:t>
      </w:r>
      <w:r>
        <w:rPr>
          <w:rFonts w:hint="eastAsia" w:cs="宋体"/>
          <w:color w:val="auto"/>
          <w:sz w:val="22"/>
          <w:highlight w:val="none"/>
          <w:lang w:eastAsia="zh-CN"/>
        </w:rPr>
        <w:t>深圳市合创建设工程顾问有限公司</w:t>
      </w:r>
    </w:p>
    <w:p w14:paraId="04026E6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地址：赣榆区新城区21世纪奥莱城5号楼303室</w:t>
      </w:r>
    </w:p>
    <w:p w14:paraId="4A3E3E1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联 系 人：</w:t>
      </w:r>
      <w:r>
        <w:rPr>
          <w:rFonts w:hint="eastAsia" w:cs="宋体"/>
          <w:color w:val="auto"/>
          <w:sz w:val="22"/>
          <w:highlight w:val="none"/>
          <w:lang w:val="en-US" w:eastAsia="zh-CN"/>
        </w:rPr>
        <w:t>陈</w:t>
      </w:r>
      <w:r>
        <w:rPr>
          <w:rFonts w:hint="eastAsia" w:ascii="宋体" w:hAnsi="宋体" w:eastAsia="宋体" w:cs="宋体"/>
          <w:color w:val="auto"/>
          <w:sz w:val="22"/>
          <w:highlight w:val="none"/>
          <w:lang w:val="en-US" w:eastAsia="zh-CN"/>
        </w:rPr>
        <w:t>工</w:t>
      </w:r>
      <w:r>
        <w:rPr>
          <w:rFonts w:hint="eastAsia" w:ascii="宋体" w:hAnsi="宋体" w:eastAsia="宋体" w:cs="宋体"/>
          <w:color w:val="auto"/>
          <w:sz w:val="22"/>
          <w:highlight w:val="none"/>
        </w:rPr>
        <w:t xml:space="preserve">                                     </w:t>
      </w:r>
    </w:p>
    <w:p w14:paraId="2007CF9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cs="宋体"/>
          <w:color w:val="auto"/>
          <w:sz w:val="22"/>
          <w:highlight w:val="none"/>
          <w:lang w:val="en-US" w:eastAsia="zh-CN"/>
        </w:rPr>
      </w:pPr>
      <w:r>
        <w:rPr>
          <w:rFonts w:hint="eastAsia" w:ascii="宋体" w:hAnsi="宋体" w:eastAsia="宋体" w:cs="宋体"/>
          <w:color w:val="auto"/>
          <w:sz w:val="22"/>
          <w:highlight w:val="none"/>
        </w:rPr>
        <w:t>联系方式：</w:t>
      </w:r>
      <w:r>
        <w:rPr>
          <w:rFonts w:hint="eastAsia" w:cs="宋体"/>
          <w:color w:val="auto"/>
          <w:sz w:val="22"/>
          <w:highlight w:val="none"/>
          <w:lang w:val="en-US" w:eastAsia="zh-CN"/>
        </w:rPr>
        <w:t>13174195599</w:t>
      </w:r>
    </w:p>
    <w:p w14:paraId="433C99B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3.项目联系方式</w:t>
      </w:r>
    </w:p>
    <w:p w14:paraId="134CAC5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项目联系人：</w:t>
      </w:r>
      <w:r>
        <w:rPr>
          <w:rFonts w:hint="eastAsia" w:ascii="宋体" w:hAnsi="宋体" w:eastAsia="宋体" w:cs="宋体"/>
          <w:color w:val="auto"/>
          <w:sz w:val="22"/>
          <w:highlight w:val="none"/>
          <w:lang w:val="en-US" w:eastAsia="zh-CN"/>
        </w:rPr>
        <w:t xml:space="preserve">董主任 </w:t>
      </w:r>
    </w:p>
    <w:p w14:paraId="5329A0D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电话：</w:t>
      </w:r>
      <w:r>
        <w:rPr>
          <w:rFonts w:hint="eastAsia" w:cs="Times New Roman"/>
          <w:color w:val="auto"/>
          <w:sz w:val="21"/>
          <w:szCs w:val="21"/>
          <w:highlight w:val="none"/>
          <w:lang w:val="en-US" w:eastAsia="zh-CN"/>
        </w:rPr>
        <w:t>18795561199</w:t>
      </w:r>
    </w:p>
    <w:p w14:paraId="726243F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九、其他</w:t>
      </w:r>
    </w:p>
    <w:p w14:paraId="3DC3217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49A07FF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领取CA和办理电子签章，具体联系方式见《苏采云系统供应商操作手册》（以下简称《操作手册》））、进行注册并按《操作手册》要求制作、上传电子投标文件。</w:t>
      </w:r>
    </w:p>
    <w:p w14:paraId="694EB59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68328430">
      <w:pPr>
        <w:widowControl/>
        <w:spacing w:line="440" w:lineRule="atLeast"/>
        <w:jc w:val="right"/>
        <w:rPr>
          <w:rFonts w:hint="eastAsia" w:ascii="宋体" w:hAnsi="宋体" w:eastAsia="宋体" w:cs="宋体"/>
          <w:color w:val="auto"/>
          <w:spacing w:val="-4"/>
          <w:sz w:val="24"/>
          <w:highlight w:val="none"/>
          <w:lang w:eastAsia="zh-CN"/>
        </w:rPr>
      </w:pPr>
      <w:r>
        <w:rPr>
          <w:rFonts w:hint="eastAsia" w:ascii="宋体" w:hAnsi="宋体" w:eastAsia="宋体" w:cs="宋体"/>
          <w:color w:val="auto"/>
          <w:sz w:val="22"/>
          <w:highlight w:val="none"/>
        </w:rPr>
        <w:t>       </w:t>
      </w:r>
    </w:p>
    <w:p w14:paraId="6654DF64">
      <w:pPr>
        <w:pStyle w:val="5"/>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p>
    <w:p w14:paraId="5EA987F2">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14:paraId="726400B7">
      <w:pPr>
        <w:pStyle w:val="5"/>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第二</w:t>
      </w:r>
      <w:r>
        <w:rPr>
          <w:rFonts w:hint="eastAsia" w:ascii="宋体" w:hAnsi="宋体" w:eastAsia="宋体" w:cs="宋体"/>
          <w:b/>
          <w:color w:val="auto"/>
          <w:sz w:val="32"/>
          <w:highlight w:val="none"/>
          <w:lang w:val="en-US" w:eastAsia="zh-CN"/>
        </w:rPr>
        <w:t xml:space="preserve">章  </w:t>
      </w:r>
      <w:r>
        <w:rPr>
          <w:rFonts w:hint="eastAsia" w:ascii="宋体" w:hAnsi="宋体" w:eastAsia="宋体" w:cs="宋体"/>
          <w:b/>
          <w:color w:val="auto"/>
          <w:sz w:val="32"/>
          <w:highlight w:val="none"/>
        </w:rPr>
        <w:t>磋商须知</w:t>
      </w:r>
    </w:p>
    <w:p w14:paraId="124F95E2">
      <w:pPr>
        <w:pBdr>
          <w:top w:val="none" w:color="000000" w:sz="0" w:space="0"/>
          <w:left w:val="none" w:color="000000" w:sz="0" w:space="0"/>
          <w:bottom w:val="none" w:color="000000" w:sz="0" w:space="0"/>
          <w:right w:val="none" w:color="000000" w:sz="0" w:space="0"/>
        </w:pBdr>
        <w:spacing w:before="0" w:after="0" w:line="400" w:lineRule="atLeast"/>
        <w:ind w:left="0" w:right="0" w:firstLine="482"/>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一、总则</w:t>
      </w:r>
    </w:p>
    <w:p w14:paraId="6DC04EA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1.适用范围</w:t>
      </w:r>
    </w:p>
    <w:p w14:paraId="613CBF5F">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 本竞争性磋商文件(以下简称磋商文件)仅适用此项目。</w:t>
      </w:r>
    </w:p>
    <w:p w14:paraId="5E3A60C2">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sz w:val="22"/>
          <w:highlight w:val="none"/>
        </w:rPr>
      </w:pPr>
      <w:r>
        <w:rPr>
          <w:rFonts w:hint="eastAsia" w:ascii="宋体" w:hAnsi="宋体"/>
          <w:color w:val="auto"/>
          <w:highlight w:val="none"/>
        </w:rPr>
        <w:t>1.2 本项目采购采用电子化方式，采购文件、响应文件、开启、评审和成交结果发布全程电子化。</w:t>
      </w:r>
    </w:p>
    <w:p w14:paraId="3E0ADDED">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2.项目采购方式</w:t>
      </w:r>
    </w:p>
    <w:p w14:paraId="749299BF">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本次采购采取竞争性磋商的方式。</w:t>
      </w:r>
    </w:p>
    <w:p w14:paraId="46CC2021">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3.合格的磋商供应商</w:t>
      </w:r>
    </w:p>
    <w:p w14:paraId="2405A516">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 满足本磋商文件“竞争性磋商采购邀请”中合格磋商供应商资格要求的规定。</w:t>
      </w:r>
    </w:p>
    <w:p w14:paraId="54C74F68">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 满足本磋商文件实质性要求和条件的规定。</w:t>
      </w:r>
    </w:p>
    <w:p w14:paraId="3CCD6341">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4.参加磋商费用</w:t>
      </w:r>
    </w:p>
    <w:p w14:paraId="2D1D3680">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4.1 参加磋商供应商应自行承担所有与参加磋商有关的费用。不论最终的成交结果如何，</w:t>
      </w:r>
      <w:r>
        <w:rPr>
          <w:rFonts w:hint="eastAsia" w:cs="宋体"/>
          <w:color w:val="auto"/>
          <w:sz w:val="22"/>
          <w:highlight w:val="none"/>
          <w:lang w:eastAsia="zh-CN"/>
        </w:rPr>
        <w:t>深圳市合创建设工程顾问有限公司</w:t>
      </w:r>
      <w:r>
        <w:rPr>
          <w:rFonts w:hint="eastAsia" w:ascii="宋体" w:hAnsi="宋体" w:eastAsia="宋体" w:cs="宋体"/>
          <w:color w:val="auto"/>
          <w:sz w:val="22"/>
          <w:highlight w:val="none"/>
          <w:lang w:eastAsia="zh-CN"/>
        </w:rPr>
        <w:t>(以下简称采购代理机构)在任何情况下均无义务和责任承担这些费用。</w:t>
      </w:r>
    </w:p>
    <w:p w14:paraId="7EDBF6D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 xml:space="preserve">4.2 此次磋商代理机构和采购人不收取磋商文件工本费。 </w:t>
      </w:r>
    </w:p>
    <w:p w14:paraId="28E52848">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 xml:space="preserve">4.3 </w:t>
      </w:r>
      <w:r>
        <w:rPr>
          <w:rFonts w:hint="eastAsia" w:ascii="宋体" w:hAnsi="宋体" w:eastAsia="宋体" w:cs="宋体"/>
          <w:b w:val="0"/>
          <w:bCs/>
          <w:color w:val="auto"/>
          <w:sz w:val="22"/>
          <w:highlight w:val="none"/>
        </w:rPr>
        <w:t>招标代理服务费按照</w:t>
      </w:r>
      <w:r>
        <w:rPr>
          <w:rFonts w:hint="eastAsia" w:ascii="宋体" w:hAnsi="宋体" w:eastAsia="宋体" w:cs="宋体"/>
          <w:b/>
          <w:bCs w:val="0"/>
          <w:color w:val="auto"/>
          <w:sz w:val="22"/>
          <w:highlight w:val="none"/>
        </w:rPr>
        <w:t>《江苏省招标代理服务收费的指导意见》的通知（苏招协【2022】002号文）标准的</w:t>
      </w:r>
      <w:r>
        <w:rPr>
          <w:rFonts w:hint="eastAsia" w:cs="宋体"/>
          <w:b/>
          <w:bCs w:val="0"/>
          <w:color w:val="auto"/>
          <w:sz w:val="22"/>
          <w:highlight w:val="none"/>
          <w:lang w:val="en-US" w:eastAsia="zh-CN"/>
        </w:rPr>
        <w:t>5</w:t>
      </w:r>
      <w:r>
        <w:rPr>
          <w:rFonts w:hint="eastAsia" w:ascii="宋体" w:hAnsi="宋体" w:eastAsia="宋体" w:cs="宋体"/>
          <w:b/>
          <w:bCs w:val="0"/>
          <w:color w:val="auto"/>
          <w:sz w:val="22"/>
          <w:highlight w:val="none"/>
          <w:lang w:val="en-US" w:eastAsia="zh-CN"/>
        </w:rPr>
        <w:t>0</w:t>
      </w:r>
      <w:r>
        <w:rPr>
          <w:rFonts w:hint="eastAsia" w:ascii="宋体" w:hAnsi="宋体" w:eastAsia="宋体" w:cs="宋体"/>
          <w:b/>
          <w:bCs w:val="0"/>
          <w:color w:val="auto"/>
          <w:sz w:val="22"/>
          <w:highlight w:val="none"/>
        </w:rPr>
        <w:t>%收取</w:t>
      </w:r>
      <w:r>
        <w:rPr>
          <w:rFonts w:hint="eastAsia" w:cs="宋体"/>
          <w:b/>
          <w:bCs w:val="0"/>
          <w:color w:val="auto"/>
          <w:sz w:val="22"/>
          <w:highlight w:val="none"/>
          <w:lang w:eastAsia="zh-CN"/>
        </w:rPr>
        <w:t>；</w:t>
      </w:r>
      <w:r>
        <w:rPr>
          <w:rFonts w:hint="eastAsia" w:ascii="宋体" w:hAnsi="宋体" w:eastAsia="宋体" w:cs="宋体"/>
          <w:b/>
          <w:bCs w:val="0"/>
          <w:color w:val="auto"/>
          <w:sz w:val="22"/>
          <w:highlight w:val="none"/>
        </w:rPr>
        <w:t>工程造价咨询服务收费（主要为清单和最高投标限价）参照苏建价协（2022）7号文中的收费标准的</w:t>
      </w:r>
      <w:r>
        <w:rPr>
          <w:rFonts w:hint="eastAsia" w:cs="宋体"/>
          <w:b/>
          <w:bCs w:val="0"/>
          <w:color w:val="auto"/>
          <w:sz w:val="22"/>
          <w:highlight w:val="none"/>
          <w:lang w:val="en-US" w:eastAsia="zh-CN"/>
        </w:rPr>
        <w:t>5</w:t>
      </w:r>
      <w:r>
        <w:rPr>
          <w:rFonts w:hint="eastAsia" w:ascii="宋体" w:hAnsi="宋体" w:eastAsia="宋体" w:cs="宋体"/>
          <w:b/>
          <w:bCs w:val="0"/>
          <w:color w:val="auto"/>
          <w:sz w:val="22"/>
          <w:highlight w:val="none"/>
          <w:lang w:val="en-US" w:eastAsia="zh-CN"/>
        </w:rPr>
        <w:t>0</w:t>
      </w:r>
      <w:r>
        <w:rPr>
          <w:rFonts w:hint="eastAsia" w:ascii="宋体" w:hAnsi="宋体" w:eastAsia="宋体" w:cs="宋体"/>
          <w:b/>
          <w:bCs w:val="0"/>
          <w:color w:val="auto"/>
          <w:sz w:val="22"/>
          <w:highlight w:val="none"/>
        </w:rPr>
        <w:t>%收取</w:t>
      </w:r>
      <w:r>
        <w:rPr>
          <w:rFonts w:hint="eastAsia" w:cs="宋体"/>
          <w:b/>
          <w:bCs w:val="0"/>
          <w:color w:val="auto"/>
          <w:sz w:val="22"/>
          <w:highlight w:val="none"/>
          <w:lang w:eastAsia="zh-CN"/>
        </w:rPr>
        <w:t>。</w:t>
      </w:r>
      <w:r>
        <w:rPr>
          <w:rFonts w:hint="eastAsia" w:ascii="宋体" w:hAnsi="宋体" w:eastAsia="宋体" w:cs="宋体"/>
          <w:b w:val="0"/>
          <w:bCs/>
          <w:color w:val="auto"/>
          <w:sz w:val="22"/>
          <w:highlight w:val="none"/>
        </w:rPr>
        <w:t>上述费用</w:t>
      </w:r>
      <w:r>
        <w:rPr>
          <w:rFonts w:hint="eastAsia" w:cs="宋体"/>
          <w:b w:val="0"/>
          <w:bCs/>
          <w:color w:val="auto"/>
          <w:sz w:val="22"/>
          <w:highlight w:val="none"/>
          <w:lang w:val="en-US" w:eastAsia="zh-CN"/>
        </w:rPr>
        <w:t>由</w:t>
      </w:r>
      <w:r>
        <w:rPr>
          <w:rFonts w:hint="eastAsia" w:ascii="宋体" w:hAnsi="宋体" w:eastAsia="宋体" w:cs="宋体"/>
          <w:b w:val="0"/>
          <w:bCs/>
          <w:color w:val="auto"/>
          <w:sz w:val="22"/>
          <w:highlight w:val="none"/>
        </w:rPr>
        <w:t>成交供应商领取成交通知书时</w:t>
      </w:r>
      <w:r>
        <w:rPr>
          <w:rFonts w:hint="eastAsia" w:cs="宋体"/>
          <w:b w:val="0"/>
          <w:bCs/>
          <w:color w:val="auto"/>
          <w:sz w:val="22"/>
          <w:highlight w:val="none"/>
          <w:lang w:val="en-US" w:eastAsia="zh-CN"/>
        </w:rPr>
        <w:t>一次性付清并承担</w:t>
      </w:r>
      <w:r>
        <w:rPr>
          <w:rFonts w:hint="eastAsia" w:ascii="宋体" w:hAnsi="宋体" w:eastAsia="宋体" w:cs="宋体"/>
          <w:b w:val="0"/>
          <w:bCs/>
          <w:color w:val="auto"/>
          <w:sz w:val="22"/>
          <w:highlight w:val="none"/>
        </w:rPr>
        <w:t>，供应商</w:t>
      </w:r>
      <w:r>
        <w:rPr>
          <w:rFonts w:hint="eastAsia" w:ascii="宋体" w:hAnsi="宋体" w:eastAsia="宋体" w:cs="宋体"/>
          <w:b w:val="0"/>
          <w:bCs/>
          <w:color w:val="auto"/>
          <w:sz w:val="22"/>
          <w:highlight w:val="none"/>
          <w:lang w:eastAsia="zh-CN"/>
        </w:rPr>
        <w:t>在投标报价时应综合考虑以上费用，不得单列</w:t>
      </w:r>
      <w:r>
        <w:rPr>
          <w:rFonts w:hint="eastAsia" w:cs="宋体"/>
          <w:b w:val="0"/>
          <w:bCs/>
          <w:color w:val="auto"/>
          <w:sz w:val="22"/>
          <w:highlight w:val="none"/>
          <w:lang w:eastAsia="zh-CN"/>
        </w:rPr>
        <w:t>，</w:t>
      </w:r>
      <w:r>
        <w:rPr>
          <w:rFonts w:hint="eastAsia" w:ascii="宋体" w:hAnsi="宋体" w:eastAsia="宋体" w:cs="宋体"/>
          <w:b w:val="0"/>
          <w:bCs/>
          <w:color w:val="auto"/>
          <w:sz w:val="22"/>
          <w:highlight w:val="none"/>
        </w:rPr>
        <w:t>采购人不再另行支付。</w:t>
      </w:r>
    </w:p>
    <w:p w14:paraId="1EA56BB2">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5.磋商文件的约束力</w:t>
      </w:r>
    </w:p>
    <w:p w14:paraId="7C4BEB9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供应商一旦获取了本磋商文件并决定参加磋商，即被认为接受了本磋商文件的规定和约束，并且视为已经知道或应当知道自身权益是否受到了损害。</w:t>
      </w:r>
    </w:p>
    <w:p w14:paraId="1B3EE8BC">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6.磋商文件的询问及修改</w:t>
      </w:r>
    </w:p>
    <w:p w14:paraId="40693BCD">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网上发布公告形式通知所有获取磋商文件的供应商。不足五日的，代理机构应当顺延提交首次响应文件截止时间。</w:t>
      </w:r>
    </w:p>
    <w:p w14:paraId="14E7426D">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 采购代理机构或采购人可以视采购项目的具体情况，组织供应商进行现场考察或召开磋商前答疑会，但不单独或分别组织只有一个供应商参加的现场考察和答疑会。</w:t>
      </w:r>
    </w:p>
    <w:p w14:paraId="52D4FB6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7．磋商文件的解释</w:t>
      </w:r>
    </w:p>
    <w:p w14:paraId="7369F1C8">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7.1本磋商文件由</w:t>
      </w:r>
      <w:r>
        <w:rPr>
          <w:rFonts w:hint="eastAsia" w:cs="宋体"/>
          <w:b/>
          <w:color w:val="auto"/>
          <w:sz w:val="22"/>
          <w:highlight w:val="none"/>
          <w:lang w:eastAsia="zh-CN"/>
        </w:rPr>
        <w:t>深圳市合创建设工程顾问有限公司</w:t>
      </w:r>
      <w:r>
        <w:rPr>
          <w:rFonts w:hint="eastAsia" w:ascii="宋体" w:hAnsi="宋体" w:eastAsia="宋体" w:cs="宋体"/>
          <w:color w:val="auto"/>
          <w:sz w:val="22"/>
          <w:highlight w:val="none"/>
        </w:rPr>
        <w:t>负责解释。</w:t>
      </w:r>
    </w:p>
    <w:p w14:paraId="5EBC9236">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64D7DBBB">
      <w:pPr>
        <w:pBdr>
          <w:top w:val="none" w:color="000000" w:sz="0" w:space="0"/>
          <w:left w:val="none" w:color="000000" w:sz="0" w:space="0"/>
          <w:bottom w:val="none" w:color="000000" w:sz="0" w:space="0"/>
          <w:right w:val="none" w:color="000000" w:sz="0" w:space="0"/>
        </w:pBdr>
        <w:spacing w:before="0" w:after="0" w:line="400" w:lineRule="atLeast"/>
        <w:ind w:left="0" w:right="0" w:firstLine="482"/>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二、磋商文件</w:t>
      </w:r>
    </w:p>
    <w:p w14:paraId="1C8D717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1.磋商采购文件构成</w:t>
      </w:r>
    </w:p>
    <w:p w14:paraId="7DAAA5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 要求提供的工程内容、磋商过程及合同条款在磋商文件中均有说明，采购文件分为</w:t>
      </w:r>
      <w:r>
        <w:rPr>
          <w:rFonts w:hint="eastAsia" w:ascii="宋体" w:hAnsi="宋体" w:eastAsia="宋体" w:cs="宋体"/>
          <w:color w:val="auto"/>
          <w:sz w:val="22"/>
          <w:highlight w:val="none"/>
          <w:lang w:val="en-US" w:eastAsia="zh-CN"/>
        </w:rPr>
        <w:t>七</w:t>
      </w:r>
      <w:r>
        <w:rPr>
          <w:rFonts w:hint="eastAsia" w:ascii="宋体" w:hAnsi="宋体" w:eastAsia="宋体" w:cs="宋体"/>
          <w:color w:val="auto"/>
          <w:sz w:val="22"/>
          <w:highlight w:val="none"/>
        </w:rPr>
        <w:t>章，各章的内容如下：</w:t>
      </w:r>
    </w:p>
    <w:p w14:paraId="690F94B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第一章 竞争性磋商采购邀请</w:t>
      </w:r>
    </w:p>
    <w:p w14:paraId="58D151E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第二章  磋商须知</w:t>
      </w:r>
    </w:p>
    <w:p w14:paraId="4A1FC5D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第三章  政府采购合同格式</w:t>
      </w:r>
    </w:p>
    <w:p w14:paraId="40AA8E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第四章  项目需求</w:t>
      </w:r>
    </w:p>
    <w:p w14:paraId="02FB0E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第五章 工程量清单</w:t>
      </w:r>
    </w:p>
    <w:p w14:paraId="49F39A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第六章  磋商响应文件格式</w:t>
      </w:r>
    </w:p>
    <w:p w14:paraId="07040DE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第七章  评审方法和评审标准</w:t>
      </w:r>
    </w:p>
    <w:p w14:paraId="14A1073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请仔细检查磋商文件是否齐全，如有缺漏请立即与采购人或采购代理机构联系解决。</w:t>
      </w:r>
    </w:p>
    <w:p w14:paraId="4CF54A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53B74C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2.磋商文件的澄清</w:t>
      </w:r>
    </w:p>
    <w:p w14:paraId="56FA523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2.1</w:t>
      </w:r>
      <w:r>
        <w:rPr>
          <w:rFonts w:hint="eastAsia" w:ascii="宋体" w:hAnsi="宋体" w:eastAsia="宋体" w:cs="宋体"/>
          <w:color w:val="auto"/>
          <w:sz w:val="22"/>
          <w:highlight w:val="none"/>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236F6C2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2.2采购人视情况组织答疑会</w:t>
      </w:r>
    </w:p>
    <w:p w14:paraId="769DAF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3.磋商文件的修改</w:t>
      </w:r>
    </w:p>
    <w:p w14:paraId="2AEEEEF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3.1 在响应文件提交截止时间前，采购人或采购代理机构可以对磋商文件进行修改。</w:t>
      </w:r>
    </w:p>
    <w:p w14:paraId="6D16689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 采购人或采购代理机构有权按照法定的要求推迟响应文件提交截止日期和磋商日期。</w:t>
      </w:r>
    </w:p>
    <w:p w14:paraId="5C1B152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 磋商文件的修改将在</w:t>
      </w:r>
      <w:r>
        <w:rPr>
          <w:rFonts w:hint="eastAsia" w:ascii="宋体" w:hAnsi="宋体" w:eastAsia="宋体" w:cs="宋体"/>
          <w:b/>
          <w:color w:val="auto"/>
          <w:sz w:val="22"/>
          <w:highlight w:val="none"/>
        </w:rPr>
        <w:t>江苏政府采购网</w:t>
      </w:r>
      <w:r>
        <w:rPr>
          <w:rFonts w:hint="eastAsia" w:ascii="宋体" w:hAnsi="宋体" w:eastAsia="宋体" w:cs="宋体"/>
          <w:color w:val="auto"/>
          <w:sz w:val="22"/>
          <w:highlight w:val="none"/>
        </w:rPr>
        <w:t>公布，补充文件将作为磋商文件的组成部分，并对供应商具有约束力。</w:t>
      </w:r>
    </w:p>
    <w:p w14:paraId="03F8528F">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7364AC99">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7A26B616">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三、响应文件的编制</w:t>
      </w:r>
    </w:p>
    <w:p w14:paraId="5D13068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1.响应文件的语言及度量衡单位</w:t>
      </w:r>
    </w:p>
    <w:p w14:paraId="7CCC024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1.1供应商提交的响应文件以及供应商与采购人或采购代理机构就有关磋商的所有来往通知、函件和文件均应使用简体中文。</w:t>
      </w:r>
    </w:p>
    <w:p w14:paraId="4A47900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1.2 除技术性能另有规定外，响应文件所使用的度量衡单位，均须采用国家法定计量单位。</w:t>
      </w:r>
    </w:p>
    <w:p w14:paraId="6AB6BFA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2.响应文件构成</w:t>
      </w:r>
    </w:p>
    <w:p w14:paraId="13C54C0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2.1供应商编写的响应文件应包括</w:t>
      </w:r>
      <w:r>
        <w:rPr>
          <w:rFonts w:hint="eastAsia" w:ascii="宋体" w:hAnsi="宋体" w:eastAsia="宋体" w:cs="宋体"/>
          <w:b/>
          <w:color w:val="auto"/>
          <w:sz w:val="22"/>
          <w:highlight w:val="none"/>
        </w:rPr>
        <w:t>资格审查证明材料文件、商务技术标文件、价格标文件</w:t>
      </w:r>
      <w:r>
        <w:rPr>
          <w:rFonts w:hint="eastAsia" w:ascii="宋体" w:hAnsi="宋体" w:eastAsia="宋体" w:cs="宋体"/>
          <w:color w:val="auto"/>
          <w:sz w:val="22"/>
          <w:highlight w:val="none"/>
        </w:rPr>
        <w:t>。供应商按“第五部分 响应文件组成”要求编写响应文件。</w:t>
      </w:r>
    </w:p>
    <w:p w14:paraId="2B9295A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2"/>
          <w:highlight w:val="none"/>
        </w:rPr>
        <w:t>磋商响应有效期</w:t>
      </w:r>
    </w:p>
    <w:p w14:paraId="10D879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3.1磋商响应有效期为采购文件规定的响应文件提交截止时间后</w:t>
      </w:r>
      <w:r>
        <w:rPr>
          <w:rFonts w:hint="eastAsia" w:ascii="宋体" w:hAnsi="宋体" w:eastAsia="宋体" w:cs="宋体"/>
          <w:b/>
          <w:color w:val="auto"/>
          <w:sz w:val="22"/>
          <w:highlight w:val="none"/>
          <w:u w:val="single"/>
        </w:rPr>
        <w:t>六十（60）天</w:t>
      </w:r>
      <w:r>
        <w:rPr>
          <w:rFonts w:hint="eastAsia" w:ascii="宋体" w:hAnsi="宋体" w:eastAsia="宋体" w:cs="宋体"/>
          <w:color w:val="auto"/>
          <w:sz w:val="22"/>
          <w:highlight w:val="none"/>
        </w:rPr>
        <w:t>。磋商响应有效期比规定短的将被视为非实质性响应而予以拒绝。</w:t>
      </w:r>
    </w:p>
    <w:p w14:paraId="0605191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 磋商响应有效期的延长</w:t>
      </w:r>
    </w:p>
    <w:p w14:paraId="418B45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4.1</w:t>
      </w:r>
      <w:r>
        <w:rPr>
          <w:rFonts w:hint="eastAsia" w:ascii="宋体" w:hAnsi="宋体" w:eastAsia="宋体" w:cs="宋体"/>
          <w:color w:val="auto"/>
          <w:sz w:val="22"/>
          <w:highlight w:val="none"/>
        </w:rPr>
        <w:t>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52F80797">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highlight w:val="none"/>
        </w:rPr>
      </w:pPr>
      <w:r>
        <w:rPr>
          <w:rFonts w:hint="eastAsia" w:ascii="宋体" w:hAnsi="宋体" w:eastAsia="宋体" w:cs="宋体"/>
          <w:color w:val="auto"/>
          <w:sz w:val="22"/>
          <w:highlight w:val="none"/>
        </w:rPr>
        <w:t>5.电子响应文件其他要求</w:t>
      </w:r>
    </w:p>
    <w:p w14:paraId="4D2BDB15">
      <w:pPr>
        <w:pBdr>
          <w:top w:val="none" w:color="000000" w:sz="0" w:space="0"/>
          <w:left w:val="none" w:color="000000" w:sz="0" w:space="0"/>
          <w:bottom w:val="none" w:color="000000" w:sz="0" w:space="0"/>
          <w:right w:val="none" w:color="000000" w:sz="0" w:space="0"/>
        </w:pBdr>
        <w:spacing w:before="0" w:after="0" w:line="439" w:lineRule="atLeast"/>
        <w:ind w:left="0" w:right="0" w:firstLine="210"/>
        <w:rPr>
          <w:rFonts w:hint="eastAsia" w:ascii="宋体" w:hAnsi="宋体" w:eastAsia="宋体" w:cs="宋体"/>
          <w:color w:val="auto"/>
          <w:highlight w:val="none"/>
        </w:rPr>
      </w:pPr>
      <w:r>
        <w:rPr>
          <w:rFonts w:hint="eastAsia" w:ascii="宋体" w:hAnsi="宋体" w:eastAsia="宋体" w:cs="宋体"/>
          <w:color w:val="auto"/>
          <w:sz w:val="22"/>
          <w:highlight w:val="none"/>
        </w:rPr>
        <w:t>5.1电子招标投标交易平台（即“苏采云”系统）相关要求是本采购文件的组成部分。</w:t>
      </w:r>
    </w:p>
    <w:p w14:paraId="1A7C6427">
      <w:pPr>
        <w:pBdr>
          <w:top w:val="none" w:color="000000" w:sz="0" w:space="0"/>
          <w:left w:val="none" w:color="000000" w:sz="0" w:space="0"/>
          <w:bottom w:val="none" w:color="000000" w:sz="0" w:space="0"/>
          <w:right w:val="none" w:color="000000" w:sz="0" w:space="0"/>
        </w:pBdr>
        <w:spacing w:before="0" w:after="0" w:line="439" w:lineRule="atLeast"/>
        <w:ind w:left="0" w:right="0" w:firstLine="210"/>
        <w:rPr>
          <w:rFonts w:hint="eastAsia" w:ascii="宋体" w:hAnsi="宋体" w:eastAsia="宋体" w:cs="宋体"/>
          <w:color w:val="auto"/>
          <w:highlight w:val="none"/>
        </w:rPr>
      </w:pPr>
      <w:r>
        <w:rPr>
          <w:rFonts w:hint="eastAsia" w:ascii="宋体" w:hAnsi="宋体" w:eastAsia="宋体" w:cs="宋体"/>
          <w:color w:val="auto"/>
          <w:sz w:val="22"/>
          <w:highlight w:val="none"/>
        </w:rPr>
        <w:t>5.2供应商应对CA证书妥善保管，如被他人盗用投标，因此带来的</w:t>
      </w:r>
      <w:r>
        <w:rPr>
          <w:rFonts w:hint="eastAsia" w:cs="宋体"/>
          <w:color w:val="auto"/>
          <w:sz w:val="22"/>
          <w:highlight w:val="none"/>
          <w:lang w:eastAsia="zh-CN"/>
        </w:rPr>
        <w:t>后果</w:t>
      </w:r>
      <w:r>
        <w:rPr>
          <w:rFonts w:hint="eastAsia" w:ascii="宋体" w:hAnsi="宋体" w:eastAsia="宋体" w:cs="宋体"/>
          <w:color w:val="auto"/>
          <w:sz w:val="22"/>
          <w:highlight w:val="none"/>
        </w:rPr>
        <w:t>均由供应商自行承担。</w:t>
      </w:r>
    </w:p>
    <w:p w14:paraId="407F08D6">
      <w:pPr>
        <w:pBdr>
          <w:top w:val="none" w:color="000000" w:sz="0" w:space="0"/>
          <w:left w:val="none" w:color="000000" w:sz="0" w:space="0"/>
          <w:bottom w:val="none" w:color="000000" w:sz="0" w:space="0"/>
          <w:right w:val="none" w:color="000000" w:sz="0" w:space="0"/>
        </w:pBdr>
        <w:spacing w:before="0" w:after="0" w:line="439" w:lineRule="atLeast"/>
        <w:ind w:left="0" w:right="0" w:firstLine="210"/>
        <w:rPr>
          <w:rFonts w:hint="eastAsia" w:ascii="宋体" w:hAnsi="宋体" w:eastAsia="宋体" w:cs="宋体"/>
          <w:color w:val="auto"/>
          <w:highlight w:val="none"/>
        </w:rPr>
      </w:pPr>
      <w:r>
        <w:rPr>
          <w:rFonts w:hint="eastAsia" w:ascii="宋体" w:hAnsi="宋体" w:eastAsia="宋体" w:cs="宋体"/>
          <w:color w:val="auto"/>
          <w:sz w:val="22"/>
          <w:highlight w:val="none"/>
        </w:rPr>
        <w:t>5.</w:t>
      </w:r>
      <w:r>
        <w:rPr>
          <w:rFonts w:hint="eastAsia" w:cs="宋体"/>
          <w:color w:val="auto"/>
          <w:sz w:val="22"/>
          <w:highlight w:val="none"/>
          <w:lang w:val="en-US" w:eastAsia="zh-CN"/>
        </w:rPr>
        <w:t>3</w:t>
      </w:r>
      <w:r>
        <w:rPr>
          <w:rFonts w:hint="eastAsia" w:ascii="宋体" w:hAnsi="宋体" w:eastAsia="宋体" w:cs="宋体"/>
          <w:color w:val="auto"/>
          <w:sz w:val="22"/>
          <w:highlight w:val="none"/>
        </w:rPr>
        <w:t>供应商应当对采购文件提出的实质性要求和条件作出实质性响应，并在电子投标系统逐条应答。</w:t>
      </w:r>
    </w:p>
    <w:p w14:paraId="0BB5F36E">
      <w:pPr>
        <w:pBdr>
          <w:top w:val="none" w:color="000000" w:sz="0" w:space="0"/>
          <w:left w:val="none" w:color="000000" w:sz="0" w:space="0"/>
          <w:bottom w:val="none" w:color="000000" w:sz="0" w:space="0"/>
          <w:right w:val="none" w:color="000000" w:sz="0" w:space="0"/>
        </w:pBdr>
        <w:spacing w:before="0" w:after="0" w:line="439" w:lineRule="atLeast"/>
        <w:ind w:left="0" w:right="0" w:firstLine="210"/>
        <w:rPr>
          <w:rFonts w:hint="eastAsia" w:ascii="宋体" w:hAnsi="宋体" w:eastAsia="宋体" w:cs="宋体"/>
          <w:color w:val="auto"/>
          <w:highlight w:val="none"/>
        </w:rPr>
      </w:pPr>
      <w:r>
        <w:rPr>
          <w:rFonts w:hint="eastAsia" w:ascii="宋体" w:hAnsi="宋体" w:eastAsia="宋体" w:cs="宋体"/>
          <w:color w:val="auto"/>
          <w:sz w:val="22"/>
          <w:highlight w:val="none"/>
        </w:rPr>
        <w:t>5.4供应商应对要求提供的资格证明文件（如资质证书、资格证书）、技术资料（如白皮书、彩页、手册、检测报告等）扫描上传至投标系统。</w:t>
      </w:r>
      <w:r>
        <w:rPr>
          <w:rFonts w:hint="eastAsia" w:ascii="宋体" w:hAnsi="宋体" w:eastAsia="宋体" w:cs="宋体"/>
          <w:color w:val="auto"/>
          <w:sz w:val="21"/>
          <w:highlight w:val="none"/>
        </w:rPr>
        <w:t xml:space="preserve"> </w:t>
      </w:r>
    </w:p>
    <w:p w14:paraId="1EBE068E">
      <w:pPr>
        <w:numPr>
          <w:ilvl w:val="0"/>
          <w:numId w:val="0"/>
        </w:num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lang w:val="en-US" w:eastAsia="en-US" w:bidi="ar-SA"/>
        </w:rPr>
        <w:t>6.</w:t>
      </w:r>
      <w:r>
        <w:rPr>
          <w:rFonts w:hint="eastAsia" w:ascii="宋体" w:hAnsi="宋体" w:eastAsia="宋体" w:cs="宋体"/>
          <w:color w:val="auto"/>
          <w:sz w:val="22"/>
          <w:highlight w:val="none"/>
        </w:rPr>
        <w:t>供应商应当在采购文件要求提交响应文件的截止时间前，将响应文件提交至“苏采云”系统，逾期提交的响应文件，“苏采云”系统将自动拒收。各供应商应在规定时间内凭CA证书进行网上解密。</w:t>
      </w:r>
    </w:p>
    <w:p w14:paraId="05DB0F4C">
      <w:pPr>
        <w:pBdr>
          <w:top w:val="none" w:color="000000" w:sz="0" w:space="0"/>
          <w:left w:val="none" w:color="000000" w:sz="0" w:space="0"/>
          <w:bottom w:val="none" w:color="000000" w:sz="0" w:space="0"/>
          <w:right w:val="none" w:color="000000" w:sz="0" w:space="0"/>
        </w:pBdr>
        <w:spacing w:before="0" w:after="0" w:line="400" w:lineRule="atLeast"/>
        <w:ind w:left="0" w:right="0" w:firstLine="482"/>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四</w:t>
      </w:r>
      <w:r>
        <w:rPr>
          <w:rFonts w:hint="eastAsia" w:ascii="宋体" w:hAnsi="宋体" w:eastAsia="宋体" w:cs="宋体"/>
          <w:b/>
          <w:color w:val="auto"/>
          <w:sz w:val="24"/>
          <w:highlight w:val="none"/>
        </w:rPr>
        <w:t>、磋商报价</w:t>
      </w:r>
    </w:p>
    <w:p w14:paraId="286034D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 磋商报价 </w:t>
      </w:r>
    </w:p>
    <w:p w14:paraId="6525D38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1.1磋商报价应是磋商文件所确定的采购范围内的全部工作内容的价格体现。其应包括施工设备、劳务、管理、材料、安装、维护、利润、税金及政策性文件规定的各项应有费用等。</w:t>
      </w:r>
    </w:p>
    <w:p w14:paraId="2699B4C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1.2 磋商报价方式：本工程采用下列</w:t>
      </w:r>
      <w:r>
        <w:rPr>
          <w:rFonts w:hint="eastAsia" w:ascii="宋体" w:hAnsi="宋体" w:eastAsia="宋体" w:cs="宋体"/>
          <w:b/>
          <w:bCs/>
          <w:color w:val="auto"/>
          <w:sz w:val="22"/>
          <w:highlight w:val="none"/>
        </w:rPr>
        <w:t>第(2)种方式</w:t>
      </w:r>
      <w:r>
        <w:rPr>
          <w:rFonts w:hint="eastAsia" w:ascii="宋体" w:hAnsi="宋体" w:eastAsia="宋体" w:cs="宋体"/>
          <w:color w:val="auto"/>
          <w:sz w:val="22"/>
          <w:highlight w:val="none"/>
        </w:rPr>
        <w:t xml:space="preserve">。 </w:t>
      </w:r>
    </w:p>
    <w:p w14:paraId="7516B6A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p>
    <w:p w14:paraId="3A97CD5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（2）固定单价报价：磋商供应商应充分考虑施工期间各类建材的市场风险和政策性调整确定风险系数计入总报价，今后不作调整。设计变更和采购人要求变动的内容除外。结算方式在合同专用条款中明确。 </w:t>
      </w:r>
    </w:p>
    <w:p w14:paraId="3315BA2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本次采购采用竞争性磋商，因第二轮报价只报总价，结算时，以成交人提交的综合单价同比下浮【下浮率=（1-第二轮报价/第一轮报价）*100% 】。</w:t>
      </w:r>
    </w:p>
    <w:p w14:paraId="6C3A72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 磋商报价的计价方法 </w:t>
      </w:r>
    </w:p>
    <w:p w14:paraId="07748C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(1)本工程项目采用</w:t>
      </w:r>
      <w:r>
        <w:rPr>
          <w:rFonts w:hint="eastAsia" w:ascii="宋体" w:hAnsi="宋体" w:eastAsia="宋体" w:cs="宋体"/>
          <w:color w:val="auto"/>
          <w:sz w:val="22"/>
          <w:highlight w:val="none"/>
          <w:u w:val="single"/>
        </w:rPr>
        <w:t xml:space="preserve"> </w:t>
      </w:r>
      <w:r>
        <w:rPr>
          <w:rFonts w:hint="eastAsia" w:ascii="宋体" w:hAnsi="宋体" w:eastAsia="宋体" w:cs="宋体"/>
          <w:b/>
          <w:bCs/>
          <w:color w:val="auto"/>
          <w:sz w:val="22"/>
          <w:highlight w:val="none"/>
          <w:u w:val="single"/>
        </w:rPr>
        <w:t>工程量清单</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计价方法。磋商供应商应根据采购人提供的工程量清单计算单价、合价以及各种政策性费用。 </w:t>
      </w:r>
    </w:p>
    <w:p w14:paraId="3FF9D30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p>
    <w:p w14:paraId="6D6DD18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(3)施工用水电差价进报价，采购人不再另行支付。 </w:t>
      </w:r>
    </w:p>
    <w:p w14:paraId="6413333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(4)本项目采用营改增后的一般计税方法计算报价。 </w:t>
      </w:r>
    </w:p>
    <w:p w14:paraId="62C035F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1.4 可选用的工程预算、费用定额和政策性文件 </w:t>
      </w:r>
    </w:p>
    <w:p w14:paraId="05E73C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(1)《建设工程工程量清单计价规范》GB50500-2013。</w:t>
      </w:r>
    </w:p>
    <w:p w14:paraId="0CD6939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(2)国家或省级、行业建设主管部门颁发的计价办法；</w:t>
      </w:r>
    </w:p>
    <w:p w14:paraId="468899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(3)企业定额，国家或省级、行业建设主管部门颁发的计价定额和计价办法；</w:t>
      </w:r>
    </w:p>
    <w:p w14:paraId="52D08A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(4)招标文件、招标工程量清单及其补充通知、答疑纪要；</w:t>
      </w:r>
    </w:p>
    <w:p w14:paraId="41AFCA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(5)建设工程设计文件及相关资料；</w:t>
      </w:r>
    </w:p>
    <w:p w14:paraId="77FD06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(6)施工现场情况、工程特点；</w:t>
      </w:r>
    </w:p>
    <w:p w14:paraId="34EE46D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(7)与建设项目相关的标准、规范等技术资料；</w:t>
      </w:r>
    </w:p>
    <w:p w14:paraId="60F5DC0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(8)市场价格信息或工程造价管理机构发布的工程造价信息；</w:t>
      </w:r>
    </w:p>
    <w:p w14:paraId="5CD7D2B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(9)全面考虑施工期间的人工、机械、设备、材料等的市场价格波动的情况、施工现场条件等因素，结合自身管理及自身所能承受价格风险的情况自主报价；</w:t>
      </w:r>
    </w:p>
    <w:p w14:paraId="2D6AB9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rPr>
      </w:pPr>
      <w:r>
        <w:rPr>
          <w:rFonts w:hint="eastAsia" w:ascii="宋体" w:hAnsi="宋体" w:eastAsia="宋体" w:cs="宋体"/>
          <w:color w:val="auto"/>
          <w:sz w:val="22"/>
          <w:highlight w:val="none"/>
        </w:rPr>
        <w:t xml:space="preserve">(10)其他的相关资料。 </w:t>
      </w:r>
    </w:p>
    <w:p w14:paraId="687BAD5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本次采购采用竞争性磋商，因第二轮报价只报总价，结算时，以成交人提交的综合单价同比下浮【下浮率=（1-第二轮报价/第一轮报价）*100% 】。</w:t>
      </w:r>
    </w:p>
    <w:p w14:paraId="4CBEEAE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2B75653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 报价货币 </w:t>
      </w:r>
    </w:p>
    <w:p w14:paraId="612BC04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 磋商应以人民币报价。 </w:t>
      </w:r>
    </w:p>
    <w:p w14:paraId="70DC4AE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 磋商报价的编制要求。</w:t>
      </w:r>
    </w:p>
    <w:p w14:paraId="5B0B1B1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 磋商供应商必须按工程量清单,用综合单价法编制磋商预算。工程量清单数量、暂定价、暂估价、独立费不得变更、不得优惠,否则视为重大偏差。 </w:t>
      </w:r>
    </w:p>
    <w:p w14:paraId="0C9E5F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 下列费用为不可竞争费用，不可竞争费用应严格执行有关费用标准，不得降低标准进行磋商，否则作无效响应处理。 </w:t>
      </w:r>
    </w:p>
    <w:p w14:paraId="1A809D7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(1)规费：包括环境保护税、社会保障费及住房公积金，应按照有权部门规定计取。 </w:t>
      </w:r>
    </w:p>
    <w:p w14:paraId="5E3E01B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(2)税金：包括按规定必须计入工程造价的营业税、城市维护建设税和教育费附加，按照不含税工程造价乘以工程所在地的税率计算。 </w:t>
      </w:r>
    </w:p>
    <w:p w14:paraId="2696AA2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(3)安全文明施工费：现场安全文明施工措施费按照连建管【2025】40号文执行。</w:t>
      </w:r>
    </w:p>
    <w:p w14:paraId="530D441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 本工程由磋商供应商自购的材料 , 磋商供应商须编制自购主要材料一览表 ,注明品牌、规格、型号、产地、数量、单价和合价。报价中含材料价差 ,结算时不予调整。 </w:t>
      </w:r>
    </w:p>
    <w:p w14:paraId="6FF4BB9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 工程中产生的垃圾均需由成交供应商自行负责清运，费用由成交供应商承担。 </w:t>
      </w:r>
    </w:p>
    <w:p w14:paraId="7C69286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p>
    <w:p w14:paraId="7AB4058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3.6 采购人向磋商供应商提供的有关施工现场的资料和数据是采购人现有的能使磋商供应商利用的资料。采购人对磋商供应商由此做出的推论、理解和结论概不负责。 </w:t>
      </w:r>
    </w:p>
    <w:p w14:paraId="48E4655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3.7 因有工程变更造成的工程量清单增减 , 按业主签证的设计变更通知单和现场 监理签证，竣工结算时进行调整。工程变更调整的原则为:(1) 报价中原有的子项 , 按磋商报价的单价计算；(2) 新增加的近似子项参照相近的子项单价计算 ；(3)无相同或近似的子项，由乙方报价并经监理及业主审核确定。 </w:t>
      </w:r>
    </w:p>
    <w:p w14:paraId="4501F7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3.8 磋商供应商应当在响应文件中详细、定量地列出优惠让利的理由及所采取的技术措施。</w:t>
      </w:r>
    </w:p>
    <w:p w14:paraId="6260AD56">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五</w:t>
      </w:r>
      <w:r>
        <w:rPr>
          <w:rFonts w:hint="eastAsia" w:ascii="宋体" w:hAnsi="宋体" w:eastAsia="宋体" w:cs="宋体"/>
          <w:b/>
          <w:color w:val="auto"/>
          <w:sz w:val="24"/>
          <w:highlight w:val="none"/>
        </w:rPr>
        <w:t>、响应文件的提交</w:t>
      </w:r>
    </w:p>
    <w:p w14:paraId="3F44EE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1.响应文件的提交</w:t>
      </w:r>
    </w:p>
    <w:p w14:paraId="3FDD179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1.1</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线上提交与接收地点：供应商应当通过“苏采云”系统提交数据电文形式的响应文件（即电子投标），“苏采云”系统自动接收。</w:t>
      </w:r>
    </w:p>
    <w:p w14:paraId="7F2FC4BD">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456E423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2.响应文件截止日期</w:t>
      </w:r>
    </w:p>
    <w:p w14:paraId="6D1E7F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2.1 供应商上传电子响应文件的时间不得迟于磋商公告中规定的响应文件提交截止时间。</w:t>
      </w:r>
    </w:p>
    <w:p w14:paraId="46CA674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供应商应充分考虑到网络环境、网络带宽等风险因素，如因供应商自身原因造成的电子响应文件上传不成功由供应商自行承担全部责任。</w:t>
      </w:r>
    </w:p>
    <w:p w14:paraId="3901AC1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2.2 采购代理机构可以按照规定，通过修改响应文件酌情延长响应文件提交截止日期，在此情况下，供应商的所有权利和义务以及供应商受制的截止日期均应以延长后新的截止日期为准。</w:t>
      </w:r>
    </w:p>
    <w:p w14:paraId="651F6B52">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3.响应文件的密封（加密）要求：</w:t>
      </w:r>
    </w:p>
    <w:p w14:paraId="6DA85B5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供应商应当按照采购文件和“苏采云”系统的要求编制并加密响应文件。本项目供应商须通过“苏采云”系统提供的政府采购客户端工具（使用“CA数字证书”）对其数据电文形式的响应文件加密。</w:t>
      </w:r>
    </w:p>
    <w:p w14:paraId="7196F87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供应商须通过“苏采云”系统提供的政府采购客户端工具（使用“CA数字证书”）加盖电子签章。</w:t>
      </w:r>
    </w:p>
    <w:p w14:paraId="48DA7F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说明：供应商应在用CA数字证书以及自备的能够登录“苏采云”系统的笔记本电脑，在达到开标时间后，使用CA数字证书解密各自响应文件。</w:t>
      </w:r>
    </w:p>
    <w:p w14:paraId="3EF81BA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供应商未按规定加密的响应文件，“苏采云”系统应当拒收并提示。</w:t>
      </w:r>
    </w:p>
    <w:p w14:paraId="66E87C1A">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4.响应文件的拒收</w:t>
      </w:r>
    </w:p>
    <w:p w14:paraId="5494B9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4.1 采购代理机构拒绝接收在其规定的响应文件提交截止时间后上传的任何响应文件。</w:t>
      </w:r>
    </w:p>
    <w:p w14:paraId="1F6FD848">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5. 响应文件的撤回和修改</w:t>
      </w:r>
    </w:p>
    <w:p w14:paraId="7B7FEA0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 响应文件的撤回</w:t>
      </w:r>
    </w:p>
    <w:p w14:paraId="3950A92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5.1.1 电子响应文件的撤回</w:t>
      </w:r>
    </w:p>
    <w:p w14:paraId="378D75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供应商可在响应文件提交截止时间前，撤回其电子响应文件，具体操作方法见</w:t>
      </w:r>
      <w:r>
        <w:rPr>
          <w:rFonts w:hint="eastAsia" w:ascii="宋体" w:hAnsi="宋体" w:eastAsia="宋体" w:cs="宋体"/>
          <w:b/>
          <w:color w:val="auto"/>
          <w:sz w:val="22"/>
          <w:highlight w:val="none"/>
        </w:rPr>
        <w:t>《江苏省政府采购（供应商）国信CA数字证书及电子签章办理指南》。</w:t>
      </w:r>
    </w:p>
    <w:p w14:paraId="332217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5.1.2 供应商撤回电子响应文件，则认为其不再参与本项目磋商活动。</w:t>
      </w:r>
    </w:p>
    <w:p w14:paraId="38B0F98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5.2 响应文件的修改</w:t>
      </w:r>
    </w:p>
    <w:p w14:paraId="3922AF8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供应商可在响应文件提交截止时间前，对其电子响应文件进行修改。</w:t>
      </w:r>
    </w:p>
    <w:p w14:paraId="54DFAEF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5.3 在响应文件提交截止时间之后，供应商不得对其电子响应文件作任何修改。</w:t>
      </w:r>
    </w:p>
    <w:p w14:paraId="0200981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5.4 在响应文件截止时间至响应文件中规定的磋商响应有效期满之间的这段时间内，供应商不得撤回其响应文件。</w:t>
      </w:r>
    </w:p>
    <w:p w14:paraId="5DB6B5EC">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六</w:t>
      </w:r>
      <w:r>
        <w:rPr>
          <w:rFonts w:hint="eastAsia" w:ascii="宋体" w:hAnsi="宋体" w:eastAsia="宋体" w:cs="宋体"/>
          <w:b/>
          <w:color w:val="auto"/>
          <w:sz w:val="24"/>
          <w:highlight w:val="none"/>
        </w:rPr>
        <w:t>、磋商与评审</w:t>
      </w:r>
    </w:p>
    <w:p w14:paraId="61E24CA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1.磋商仪式</w:t>
      </w:r>
    </w:p>
    <w:p w14:paraId="0F7B47A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1.1采购人或采购代理机构将在磋商公告中规定的时间和地点组织磋商开始仪式。</w:t>
      </w:r>
    </w:p>
    <w:p w14:paraId="38017975">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w:t>
      </w:r>
      <w:r>
        <w:rPr>
          <w:rFonts w:hint="eastAsia" w:ascii="宋体" w:hAnsi="宋体" w:eastAsia="宋体" w:cs="宋体"/>
          <w:b/>
          <w:color w:val="auto"/>
          <w:sz w:val="22"/>
          <w:highlight w:val="none"/>
          <w:u w:val="none"/>
        </w:rPr>
        <w:t>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w:t>
      </w:r>
      <w:r>
        <w:rPr>
          <w:rFonts w:hint="eastAsia" w:ascii="宋体" w:hAnsi="宋体" w:eastAsia="宋体" w:cs="宋体"/>
          <w:b/>
          <w:color w:val="auto"/>
          <w:sz w:val="22"/>
          <w:highlight w:val="none"/>
        </w:rPr>
        <w:t>间。</w:t>
      </w:r>
    </w:p>
    <w:p w14:paraId="21ADAF8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1.2 磋商活动的文件解密工作由采购代理机构组织。</w:t>
      </w:r>
    </w:p>
    <w:p w14:paraId="53A5233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资格评审结束后，供应商就所有内容进行最后报价，少报无效。</w:t>
      </w:r>
    </w:p>
    <w:p w14:paraId="7FB04D3D">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auto"/>
          <w:sz w:val="22"/>
          <w:highlight w:val="none"/>
          <w:u w:val="none"/>
        </w:rPr>
        <w:t>20分钟内</w:t>
      </w:r>
      <w:r>
        <w:rPr>
          <w:rFonts w:hint="eastAsia" w:ascii="宋体" w:hAnsi="宋体" w:eastAsia="宋体" w:cs="宋体"/>
          <w:b/>
          <w:color w:val="auto"/>
          <w:sz w:val="22"/>
          <w:highlight w:val="none"/>
        </w:rPr>
        <w:t>填写并提交最后报价，未在规定时间内提交最后报价的，视作无效响应处理。</w:t>
      </w:r>
    </w:p>
    <w:p w14:paraId="667A49E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2.磋商小组</w:t>
      </w:r>
    </w:p>
    <w:p w14:paraId="3703F48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2.1磋商开始仪式结束后，采购人或采购代理机构将立即组织磋商小组进行评审。</w:t>
      </w:r>
    </w:p>
    <w:p w14:paraId="7E2D710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4CEB121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2.3超过公开招标限额标准的项目，磋商小组应当由5人以上单数组成。</w:t>
      </w:r>
    </w:p>
    <w:p w14:paraId="4E276F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203C4C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2.5磋商小组独立工作，负责评审所有响应文件并确定成交</w:t>
      </w:r>
      <w:r>
        <w:rPr>
          <w:rFonts w:hint="eastAsia" w:cs="宋体"/>
          <w:color w:val="auto"/>
          <w:sz w:val="22"/>
          <w:highlight w:val="none"/>
          <w:lang w:eastAsia="zh-CN"/>
        </w:rPr>
        <w:t>候选人</w:t>
      </w:r>
      <w:r>
        <w:rPr>
          <w:rFonts w:hint="eastAsia" w:ascii="宋体" w:hAnsi="宋体" w:eastAsia="宋体" w:cs="宋体"/>
          <w:color w:val="auto"/>
          <w:sz w:val="22"/>
          <w:highlight w:val="none"/>
        </w:rPr>
        <w:t>。</w:t>
      </w:r>
    </w:p>
    <w:p w14:paraId="30B20C9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3.磋商评审过程的保密与公正</w:t>
      </w:r>
    </w:p>
    <w:p w14:paraId="13B33D5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3.1磋商小组、采购人或采购代理机构、相关监督人员等与评审工作有关的人员，对评审情况以及在评审过程中获悉的国家秘密、商业秘密负有保密责任。</w:t>
      </w:r>
    </w:p>
    <w:p w14:paraId="01BF94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3.2在磋商评审过程中，磋商供应商不得以任何行为影响磋商评审过程，否则其响应文件将被作为无效响应文件。</w:t>
      </w:r>
    </w:p>
    <w:p w14:paraId="7DF43E5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945A38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621360F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3.5在评审期间，采购人或采购代理机构将设专门人员与供应商联系。</w:t>
      </w:r>
    </w:p>
    <w:p w14:paraId="017450B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3.6采购人或采购代理机构和评审小组不向未成交的供应商解释未成交原因，也不公布评审过程中的相关细节。</w:t>
      </w:r>
    </w:p>
    <w:p w14:paraId="2ECCA6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4、评审过程的澄清</w:t>
      </w:r>
    </w:p>
    <w:p w14:paraId="364CF5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4.1评审期间，为有助于对响应文件的审查、评价和比较，磋商小组有权通过视频会议要求响应人对其响应文件进行澄清，但并非对每个供应商都作澄清要求。</w:t>
      </w:r>
    </w:p>
    <w:p w14:paraId="15B77A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4.2接到磋商小组澄清要求的供应商应派人按磋商小组规定的时间内做出澄清，澄清的内容作为响应文件的补充部分，但实质性的内容不得做任何更改。</w:t>
      </w:r>
    </w:p>
    <w:p w14:paraId="1F9C0E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4.3 接到磋商小组澄清要求的供应商如未按规定做出澄清，其风险由供应商自行承担。</w:t>
      </w:r>
    </w:p>
    <w:p w14:paraId="25B8814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5.对响应文件的初审</w:t>
      </w:r>
    </w:p>
    <w:p w14:paraId="58C112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5.1响应文件初审分为资格性审查和符合性审查。</w:t>
      </w:r>
    </w:p>
    <w:p w14:paraId="065F188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5.1.1资格性检查：依据法律法规和磋商文件的规定，由采购人对响应文件中的资格审查证明材料进行审查，资格审查的结论，采购人以书面形式向磋商小组进行反馈。</w:t>
      </w:r>
    </w:p>
    <w:p w14:paraId="4415A36D">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采购人在进行资格性审查的同时，评标委员会从“信用中国”网站查询供应商的信用记录，以确定供应商是否具备参加磋商的资格。</w:t>
      </w:r>
    </w:p>
    <w:p w14:paraId="06943C8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B82022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符合性审查：依据磋商文件的规定，由磋商小组从响应文件的有效性、完整性和对磋商文件的响应程度进行审查，以确定是否对磋商文件的实质性要求作出响应。</w:t>
      </w:r>
    </w:p>
    <w:p w14:paraId="484EB9E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5.1.3</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未通过资格审查或符合性审查的供应商，采购人或采购代理机构告知未通过资格审查或符合性审查的原因，评审结束后，采购人或采购代理机构将不再告知未通过资格审查或符合性审查的原因。</w:t>
      </w:r>
    </w:p>
    <w:p w14:paraId="5856ECE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在正式磋商之前，磋商小组将首先审查每份响应文件是否实质性响应了磋商文件的要求。实质性响应的响应文件应该是与磋商文件要求的全部条款、条件和规格相符，没有重大负偏离或保留。</w:t>
      </w:r>
    </w:p>
    <w:p w14:paraId="22BE30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05B4FF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5.3</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如果响应文件实质上没有响应磋商文件的要求，磋商小组将予以拒绝，供应商不得通过修改或撤销不合要求的偏离或保留而使其响应文件成为实质性响应的文件。</w:t>
      </w:r>
    </w:p>
    <w:p w14:paraId="10D77F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5.4</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磋商小组将对确定为实质性响应的文件进行进一步审核，看其是否有计算上或累加上的算术错误，修正错误的原则如下：</w:t>
      </w:r>
    </w:p>
    <w:p w14:paraId="2704296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（1）响应文件中报价总表内容与响应文件中相应内容不一致的，以报价总表为准。</w:t>
      </w:r>
    </w:p>
    <w:p w14:paraId="643880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（2）大写金额和小写金额不一致的，以大写金额为准。</w:t>
      </w:r>
    </w:p>
    <w:p w14:paraId="636F0A9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（3）单价金额小数点或者百分比有明显错位的，以报价总表的总价为准，并修改单价。</w:t>
      </w:r>
    </w:p>
    <w:p w14:paraId="07591B0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（4）总价金额与按单价汇总金额不一致的，以单价金额计算结果为准。</w:t>
      </w:r>
    </w:p>
    <w:p w14:paraId="5234591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同时出现两种以上错误的，按照前款规定的顺序修正。</w:t>
      </w:r>
    </w:p>
    <w:p w14:paraId="4C5046F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5.5</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磋商小组将按上述修正错误的方法调整响应文件中的报价，现场告知供应商，调整后的价格应对供应商具有约束力。如果供应商不接受修正后的价格，则其磋商活动将被拒绝。</w:t>
      </w:r>
    </w:p>
    <w:p w14:paraId="68CC849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5.6</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磋商小组将允许修正响应文件中不构成重大偏离的、微小的、非正规的、不一致的或不规则的地方，但这些修改不能影响任何供应商相应的名次排列。</w:t>
      </w:r>
    </w:p>
    <w:p w14:paraId="0654F02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5.7</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254AA0B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5.8</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17989B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5.9 供应商在评审全过程中应保持通讯畅通，并安排专人与采购人或采购代理机构及磋商小组联系。</w:t>
      </w:r>
    </w:p>
    <w:p w14:paraId="045A5B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 被认定为未实质性响应磋商文件的响应文件的情形。</w:t>
      </w:r>
    </w:p>
    <w:p w14:paraId="5D2D13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6.1出现下列情形之一的，作无效响应处理。</w:t>
      </w:r>
    </w:p>
    <w:p w14:paraId="7C38413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6.1.1 同一供应商提交两个（含两个）以上不同的响应报价的。</w:t>
      </w:r>
    </w:p>
    <w:p w14:paraId="2D9FED3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6.1.2 不具备磋商文件中规定的资格要求的。 </w:t>
      </w:r>
    </w:p>
    <w:p w14:paraId="40E3710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6.1.3 响应报价超过了</w:t>
      </w:r>
      <w:r>
        <w:rPr>
          <w:rFonts w:hint="eastAsia" w:cs="宋体"/>
          <w:color w:val="auto"/>
          <w:sz w:val="22"/>
          <w:highlight w:val="none"/>
          <w:lang w:val="en-US" w:eastAsia="zh-CN"/>
        </w:rPr>
        <w:t>最高限价</w:t>
      </w:r>
      <w:r>
        <w:rPr>
          <w:rFonts w:hint="eastAsia" w:ascii="宋体" w:hAnsi="宋体" w:eastAsia="宋体" w:cs="宋体"/>
          <w:color w:val="auto"/>
          <w:sz w:val="22"/>
          <w:highlight w:val="none"/>
        </w:rPr>
        <w:t xml:space="preserve">的。 </w:t>
      </w:r>
    </w:p>
    <w:p w14:paraId="14709BC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eastAsia="zh-CN"/>
        </w:rPr>
      </w:pPr>
      <w:r>
        <w:rPr>
          <w:rFonts w:hint="eastAsia" w:cs="宋体"/>
          <w:color w:val="auto"/>
          <w:sz w:val="22"/>
          <w:highlight w:val="none"/>
          <w:lang w:val="en-US" w:eastAsia="zh-CN"/>
        </w:rPr>
        <w:t xml:space="preserve">6.1.4  </w:t>
      </w:r>
      <w:r>
        <w:rPr>
          <w:rFonts w:hint="eastAsia" w:ascii="宋体" w:hAnsi="宋体" w:eastAsia="宋体" w:cs="宋体"/>
          <w:color w:val="auto"/>
          <w:sz w:val="22"/>
          <w:highlight w:val="none"/>
        </w:rPr>
        <w:t>响应文件中已标价工程量清单与</w:t>
      </w:r>
      <w:r>
        <w:rPr>
          <w:rFonts w:hint="eastAsia" w:cs="宋体"/>
          <w:color w:val="auto"/>
          <w:sz w:val="22"/>
          <w:highlight w:val="none"/>
          <w:lang w:val="en-US" w:eastAsia="zh-CN"/>
        </w:rPr>
        <w:t>采购</w:t>
      </w:r>
      <w:r>
        <w:rPr>
          <w:rFonts w:hint="eastAsia" w:ascii="宋体" w:hAnsi="宋体" w:eastAsia="宋体" w:cs="宋体"/>
          <w:color w:val="auto"/>
          <w:sz w:val="22"/>
          <w:highlight w:val="none"/>
        </w:rPr>
        <w:t>文件规定的暂估价、暂列金额及甲供材料价格不一致的</w:t>
      </w:r>
      <w:r>
        <w:rPr>
          <w:rFonts w:hint="eastAsia" w:cs="宋体"/>
          <w:color w:val="auto"/>
          <w:sz w:val="22"/>
          <w:highlight w:val="none"/>
          <w:lang w:eastAsia="zh-CN"/>
        </w:rPr>
        <w:t>。</w:t>
      </w:r>
    </w:p>
    <w:p w14:paraId="5F8E382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eastAsia="zh-CN"/>
        </w:rPr>
      </w:pPr>
      <w:r>
        <w:rPr>
          <w:rFonts w:hint="eastAsia" w:cs="宋体"/>
          <w:color w:val="auto"/>
          <w:sz w:val="22"/>
          <w:highlight w:val="none"/>
          <w:lang w:val="en-US" w:eastAsia="zh-CN"/>
        </w:rPr>
        <w:t xml:space="preserve">6.1.5  </w:t>
      </w:r>
      <w:r>
        <w:rPr>
          <w:rFonts w:hint="eastAsia" w:ascii="宋体" w:hAnsi="宋体" w:eastAsia="宋体" w:cs="宋体"/>
          <w:color w:val="auto"/>
          <w:sz w:val="22"/>
          <w:highlight w:val="none"/>
        </w:rPr>
        <w:t>响应文件中已标价工程量清单与招标文件明确列出的不可竞争费用项目或费率或计算基础不一致的</w:t>
      </w:r>
      <w:r>
        <w:rPr>
          <w:rFonts w:hint="eastAsia" w:cs="宋体"/>
          <w:color w:val="auto"/>
          <w:sz w:val="22"/>
          <w:highlight w:val="none"/>
          <w:lang w:eastAsia="zh-CN"/>
        </w:rPr>
        <w:t>。</w:t>
      </w:r>
    </w:p>
    <w:p w14:paraId="2C96CC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eastAsia="zh-CN"/>
        </w:rPr>
      </w:pPr>
      <w:r>
        <w:rPr>
          <w:rFonts w:hint="eastAsia" w:cs="宋体"/>
          <w:color w:val="auto"/>
          <w:sz w:val="22"/>
          <w:highlight w:val="none"/>
          <w:lang w:val="en-US" w:eastAsia="zh-CN"/>
        </w:rPr>
        <w:t xml:space="preserve">6.1.6  </w:t>
      </w:r>
      <w:r>
        <w:rPr>
          <w:rFonts w:hint="eastAsia" w:ascii="宋体" w:hAnsi="宋体" w:eastAsia="宋体" w:cs="宋体"/>
          <w:color w:val="auto"/>
          <w:sz w:val="22"/>
          <w:highlight w:val="none"/>
        </w:rPr>
        <w:t>响应文件的已标价工程量清单与</w:t>
      </w:r>
      <w:r>
        <w:rPr>
          <w:rFonts w:hint="eastAsia" w:cs="宋体"/>
          <w:color w:val="auto"/>
          <w:sz w:val="22"/>
          <w:highlight w:val="none"/>
          <w:lang w:val="en-US" w:eastAsia="zh-CN"/>
        </w:rPr>
        <w:t>采购</w:t>
      </w:r>
      <w:r>
        <w:rPr>
          <w:rFonts w:hint="eastAsia" w:ascii="宋体" w:hAnsi="宋体" w:eastAsia="宋体" w:cs="宋体"/>
          <w:color w:val="auto"/>
          <w:sz w:val="22"/>
          <w:highlight w:val="none"/>
        </w:rPr>
        <w:t>标文件提供的工程量清单中的项目编码、项目名称、项目特征、计量单位、工程量不一致的</w:t>
      </w:r>
      <w:r>
        <w:rPr>
          <w:rFonts w:hint="eastAsia" w:cs="宋体"/>
          <w:color w:val="auto"/>
          <w:sz w:val="22"/>
          <w:highlight w:val="none"/>
          <w:lang w:eastAsia="zh-CN"/>
        </w:rPr>
        <w:t>。</w:t>
      </w:r>
    </w:p>
    <w:p w14:paraId="211260A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7</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未通过符合性检查的。</w:t>
      </w:r>
    </w:p>
    <w:p w14:paraId="5A0CFC6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8</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不符合法律、法规和磋商文件中规定的其他实质性要求的。</w:t>
      </w:r>
    </w:p>
    <w:p w14:paraId="4D99D0A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9</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供应商被</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5312CC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10</w:t>
      </w:r>
      <w:r>
        <w:rPr>
          <w:rFonts w:hint="eastAsia" w:ascii="宋体" w:hAnsi="宋体" w:eastAsia="宋体" w:cs="宋体"/>
          <w:color w:val="auto"/>
          <w:sz w:val="22"/>
          <w:highlight w:val="none"/>
        </w:rPr>
        <w:t xml:space="preserve"> 响应文件含有采购人不能接受的附加条件的。</w:t>
      </w:r>
    </w:p>
    <w:p w14:paraId="2AFA36B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6.1.</w:t>
      </w:r>
      <w:r>
        <w:rPr>
          <w:rFonts w:hint="eastAsia" w:ascii="宋体" w:hAnsi="宋体" w:eastAsia="宋体" w:cs="宋体"/>
          <w:color w:val="auto"/>
          <w:sz w:val="22"/>
          <w:highlight w:val="none"/>
          <w:lang w:val="en-US" w:eastAsia="zh-CN"/>
        </w:rPr>
        <w:t>11本项目执行苏财购【2025】62号文《关于推动解决政府采购异常低价问题相关工作的通知》采购人应在采购文件中明确评审委员会启动异常低价投标响应)审查的情形和具体要求，包括:(一)评审过程中出现下列情形之一的，评审委员会应当启动异常低价投标(响应)审查程序:</w:t>
      </w:r>
    </w:p>
    <w:p w14:paraId="762F57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1.投标(响应)报价低于采购项目预算50%的，即投标（响应）报价&lt;采购项目预算*50%；</w:t>
      </w:r>
    </w:p>
    <w:p w14:paraId="22011F9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2.投标(响应)报价低于采购项目最高限价45%的，即投标（响应）报价&lt;采购项目最高限价*45%；</w:t>
      </w:r>
    </w:p>
    <w:p w14:paraId="1241FEC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3.评审委员会认定的供应商报价过低、有可能影响产品质量或者不能诚信履约的其他情形。</w:t>
      </w:r>
    </w:p>
    <w:p w14:paraId="6CC0226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D149B9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12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26D3069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13</w:t>
      </w:r>
      <w:r>
        <w:rPr>
          <w:rFonts w:hint="eastAsia" w:ascii="宋体" w:hAnsi="宋体" w:eastAsia="宋体" w:cs="宋体"/>
          <w:color w:val="auto"/>
          <w:sz w:val="22"/>
          <w:highlight w:val="none"/>
        </w:rPr>
        <w:t xml:space="preserve"> 响应文件未按照磋商文件要求加盖电子签章。</w:t>
      </w:r>
    </w:p>
    <w:p w14:paraId="4C93276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14</w:t>
      </w:r>
      <w:r>
        <w:rPr>
          <w:rFonts w:hint="eastAsia" w:ascii="宋体" w:hAnsi="宋体" w:eastAsia="宋体" w:cs="宋体"/>
          <w:color w:val="auto"/>
          <w:sz w:val="22"/>
          <w:highlight w:val="none"/>
        </w:rPr>
        <w:t xml:space="preserve"> 投标人的商务技术部分得分相差悬殊，评标委员会认为得分畸低者没有实质性响应的。</w:t>
      </w:r>
    </w:p>
    <w:p w14:paraId="21E5B2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6.1.1</w:t>
      </w:r>
      <w:r>
        <w:rPr>
          <w:rFonts w:hint="eastAsia" w:cs="宋体"/>
          <w:color w:val="auto"/>
          <w:sz w:val="22"/>
          <w:highlight w:val="none"/>
          <w:lang w:val="en-US" w:eastAsia="zh-CN"/>
        </w:rPr>
        <w:t>5</w:t>
      </w:r>
      <w:r>
        <w:rPr>
          <w:rFonts w:hint="eastAsia" w:ascii="宋体" w:hAnsi="宋体" w:eastAsia="宋体" w:cs="宋体"/>
          <w:color w:val="auto"/>
          <w:sz w:val="22"/>
          <w:highlight w:val="none"/>
        </w:rPr>
        <w:t xml:space="preserve"> 供应商在系统规定的时间内未成功解密电子响应文件的。</w:t>
      </w:r>
    </w:p>
    <w:p w14:paraId="51551D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6.1.1</w:t>
      </w:r>
      <w:r>
        <w:rPr>
          <w:rFonts w:hint="eastAsia" w:cs="宋体"/>
          <w:color w:val="auto"/>
          <w:sz w:val="22"/>
          <w:highlight w:val="none"/>
          <w:lang w:val="en-US" w:eastAsia="zh-CN"/>
        </w:rPr>
        <w:t>6</w:t>
      </w:r>
      <w:r>
        <w:rPr>
          <w:rFonts w:hint="eastAsia" w:ascii="宋体" w:hAnsi="宋体" w:eastAsia="宋体" w:cs="宋体"/>
          <w:color w:val="auto"/>
          <w:sz w:val="22"/>
          <w:highlight w:val="none"/>
        </w:rPr>
        <w:t xml:space="preserve"> 未完整上传响应文件电子文档的,或上传的文件打不开的。</w:t>
      </w:r>
    </w:p>
    <w:p w14:paraId="3C2DB95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6.1.1</w:t>
      </w:r>
      <w:r>
        <w:rPr>
          <w:rFonts w:hint="eastAsia" w:cs="宋体"/>
          <w:color w:val="auto"/>
          <w:sz w:val="22"/>
          <w:highlight w:val="none"/>
          <w:lang w:val="en-US" w:eastAsia="zh-CN"/>
        </w:rPr>
        <w:t>7</w:t>
      </w:r>
      <w:r>
        <w:rPr>
          <w:rFonts w:hint="eastAsia" w:ascii="宋体" w:hAnsi="宋体" w:eastAsia="宋体" w:cs="宋体"/>
          <w:color w:val="auto"/>
          <w:sz w:val="22"/>
          <w:highlight w:val="none"/>
        </w:rPr>
        <w:t xml:space="preserve"> 不同的供应商响应文件制作机器码、文件创建标识码一致的。</w:t>
      </w:r>
    </w:p>
    <w:p w14:paraId="7C0747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6.1.1</w:t>
      </w:r>
      <w:r>
        <w:rPr>
          <w:rFonts w:hint="eastAsia" w:cs="宋体"/>
          <w:color w:val="auto"/>
          <w:sz w:val="22"/>
          <w:highlight w:val="none"/>
          <w:lang w:val="en-US" w:eastAsia="zh-CN"/>
        </w:rPr>
        <w:t>8</w:t>
      </w:r>
      <w:r>
        <w:rPr>
          <w:rFonts w:hint="eastAsia" w:ascii="宋体" w:hAnsi="宋体" w:eastAsia="宋体" w:cs="宋体"/>
          <w:color w:val="auto"/>
          <w:sz w:val="22"/>
          <w:highlight w:val="none"/>
        </w:rPr>
        <w:t xml:space="preserve"> 其他法律、法规及本磋商文件规定的属无效响应的情形。</w:t>
      </w:r>
    </w:p>
    <w:p w14:paraId="761114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出现下列情形之一的，磋商失败。</w:t>
      </w:r>
    </w:p>
    <w:p w14:paraId="7218359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6.2.1</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p>
    <w:p w14:paraId="394ED8D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出现影响采购公正的违法违规行为的；</w:t>
      </w:r>
    </w:p>
    <w:p w14:paraId="755FF3E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6.2.3</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因重大变故，采购任务取消的。</w:t>
      </w:r>
    </w:p>
    <w:p w14:paraId="501F57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6.2.4</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磋商小组认定磋商文件存在歧义、重大缺陷导致评审工作无法进行。</w:t>
      </w:r>
    </w:p>
    <w:p w14:paraId="19E4BF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6.2.5 因系统故障原因造成磋商不成功的。</w:t>
      </w:r>
    </w:p>
    <w:p w14:paraId="295EBD4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6.3 响应文件提交截止时间结束后参加磋商的供应商不足三家的处理：</w:t>
      </w:r>
    </w:p>
    <w:p w14:paraId="6AE89B0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6.3.1</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如出现响应文件提交截止时间结束后参加磋商的供应商或者在评审期间对磋商文件做出实质响应的供应商不足三家情况，按政府采购相关规定执行。</w:t>
      </w:r>
    </w:p>
    <w:p w14:paraId="0209E4EF">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7. 响应文件线上格式要求</w:t>
      </w:r>
    </w:p>
    <w:p w14:paraId="25F63FB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7.1</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供应商应当通过“苏采云”系统提交数据电文形式的响应文件（即电子投标）。</w:t>
      </w:r>
    </w:p>
    <w:p w14:paraId="01189E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7.2 通过“苏采云”系统提交政府采购客户端工具导出加密的响应文件（后缀名为zip）。响应文件不得超过150M！</w:t>
      </w:r>
    </w:p>
    <w:p w14:paraId="071D0E7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7.3 本项目采用线上投标，即供应商响应文件从政府采购客户端工具制作通过“苏采云”系统提交，未提供线上响应文件的，投标无效。</w:t>
      </w:r>
    </w:p>
    <w:p w14:paraId="66CCB7A8">
      <w:pPr>
        <w:pBdr>
          <w:top w:val="none" w:color="000000" w:sz="0" w:space="0"/>
          <w:left w:val="none" w:color="000000" w:sz="0" w:space="0"/>
          <w:bottom w:val="none" w:color="000000" w:sz="0" w:space="0"/>
          <w:right w:val="none" w:color="000000" w:sz="0" w:space="0"/>
        </w:pBdr>
        <w:spacing w:before="0" w:after="0" w:line="439" w:lineRule="atLeast"/>
        <w:ind w:left="0" w:right="0" w:firstLine="422"/>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七</w:t>
      </w:r>
      <w:r>
        <w:rPr>
          <w:rFonts w:hint="eastAsia" w:ascii="宋体" w:hAnsi="宋体" w:eastAsia="宋体" w:cs="宋体"/>
          <w:b/>
          <w:color w:val="auto"/>
          <w:sz w:val="24"/>
          <w:highlight w:val="none"/>
        </w:rPr>
        <w:t>、成交</w:t>
      </w:r>
    </w:p>
    <w:p w14:paraId="03941A6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bookmarkStart w:id="3" w:name="_Toc513029238"/>
      <w:bookmarkStart w:id="4" w:name="_Toc20823310"/>
      <w:bookmarkStart w:id="5" w:name="_Toc16938554"/>
      <w:r>
        <w:rPr>
          <w:rFonts w:hint="eastAsia" w:ascii="宋体" w:hAnsi="宋体" w:eastAsia="宋体" w:cs="宋体"/>
          <w:color w:val="auto"/>
          <w:sz w:val="22"/>
          <w:highlight w:val="none"/>
        </w:rPr>
        <w:t>1、</w:t>
      </w:r>
      <w:bookmarkEnd w:id="3"/>
      <w:r>
        <w:rPr>
          <w:rFonts w:hint="eastAsia" w:ascii="宋体" w:hAnsi="宋体" w:eastAsia="宋体" w:cs="宋体"/>
          <w:color w:val="auto"/>
          <w:sz w:val="22"/>
          <w:highlight w:val="none"/>
        </w:rPr>
        <w:t>确定</w:t>
      </w:r>
      <w:bookmarkEnd w:id="4"/>
      <w:bookmarkEnd w:id="5"/>
      <w:r>
        <w:rPr>
          <w:rFonts w:hint="eastAsia" w:ascii="宋体" w:hAnsi="宋体" w:eastAsia="宋体" w:cs="宋体"/>
          <w:color w:val="auto"/>
          <w:sz w:val="22"/>
          <w:highlight w:val="none"/>
        </w:rPr>
        <w:t>成交单位</w:t>
      </w:r>
    </w:p>
    <w:p w14:paraId="6D72ED2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2EC2710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2D6AD06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成交供应商在领取成交通知书时，需提供肆份与电子响应文件一致的纸质打印文件。</w:t>
      </w:r>
    </w:p>
    <w:p w14:paraId="1CE1F38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1.3</w:t>
      </w:r>
      <w:r>
        <w:rPr>
          <w:rFonts w:hint="eastAsia" w:ascii="宋体" w:hAnsi="宋体" w:eastAsia="宋体" w:cs="宋体"/>
          <w:color w:val="auto"/>
          <w:sz w:val="22"/>
          <w:highlight w:val="none"/>
        </w:rPr>
        <w:t>、成交供应商有下列情形之一的，将取消其成交资格：</w:t>
      </w:r>
    </w:p>
    <w:p w14:paraId="3608EF3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（1）提供虚假材料谋取成交的；</w:t>
      </w:r>
    </w:p>
    <w:p w14:paraId="2A1222D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（2）与评审专家、采购人、其他供应商或者采购代理机构工作人员恶意串通的；</w:t>
      </w:r>
    </w:p>
    <w:p w14:paraId="7FC19C2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（3）向评审专家、采购人或采购代理机构工作人员行贿或者提供其他不正当利益的；</w:t>
      </w:r>
    </w:p>
    <w:p w14:paraId="6EA8EF5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（4）恶意竞争，最终总报价明显低于其自身合理成本且又无法提供证明的；</w:t>
      </w:r>
    </w:p>
    <w:p w14:paraId="7850AD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（5）属于本文件规定的无效条件，但在评审过程中又未被磋商小组发现的；</w:t>
      </w:r>
    </w:p>
    <w:p w14:paraId="344ED29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（6）采取不正当手段诋毁、排挤其他供应商的；</w:t>
      </w:r>
    </w:p>
    <w:p w14:paraId="5A1B08D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（7）成交后无正当理由拒不与采购人签订政府采购合同或者未按照磋商文件确定的事项签订政府采购合同的；</w:t>
      </w:r>
    </w:p>
    <w:p w14:paraId="1BE1D5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（8）将政府采购合同转包的；</w:t>
      </w:r>
    </w:p>
    <w:p w14:paraId="6E35C1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（9）法律、法规、规章规定的属于成交无效的其他情形。</w:t>
      </w:r>
    </w:p>
    <w:p w14:paraId="41262E1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2C1073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1EE4826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1.6政府采购合同履行中，采购人需追加与合同标的相同的服务的，在不改变合同其他条款的前提下，可以与供应商协商签订补充合同，但所有补充合同的采购金额不得超过原合同采购金额的百分之十。</w:t>
      </w:r>
    </w:p>
    <w:p w14:paraId="70629A1F">
      <w:pPr>
        <w:pBdr>
          <w:top w:val="none" w:color="000000" w:sz="0" w:space="0"/>
          <w:left w:val="none" w:color="000000" w:sz="0" w:space="0"/>
          <w:bottom w:val="none" w:color="000000" w:sz="0" w:space="0"/>
          <w:right w:val="none" w:color="000000" w:sz="0" w:space="0"/>
        </w:pBdr>
        <w:spacing w:before="0" w:after="0" w:line="439" w:lineRule="atLeast"/>
        <w:ind w:left="0" w:right="0" w:firstLine="420"/>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八</w:t>
      </w:r>
      <w:r>
        <w:rPr>
          <w:rFonts w:hint="eastAsia" w:ascii="宋体" w:hAnsi="宋体" w:eastAsia="宋体" w:cs="宋体"/>
          <w:b/>
          <w:color w:val="auto"/>
          <w:sz w:val="24"/>
          <w:highlight w:val="none"/>
        </w:rPr>
        <w:t>、</w:t>
      </w:r>
      <w:r>
        <w:rPr>
          <w:rFonts w:hint="eastAsia" w:ascii="宋体" w:hAnsi="宋体" w:eastAsia="宋体" w:cs="宋体"/>
          <w:b/>
          <w:bCs/>
          <w:color w:val="auto"/>
          <w:sz w:val="24"/>
          <w:highlight w:val="none"/>
          <w:lang w:bidi="ar"/>
        </w:rPr>
        <w:t>合同签订相关事项</w:t>
      </w:r>
    </w:p>
    <w:p w14:paraId="0B2B4CB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1、签订合同 </w:t>
      </w:r>
    </w:p>
    <w:p w14:paraId="3B81D0B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1.l 采购人与成交供应商应当在成交通知书发出之日起 30 日内，按照磋商文件确定的合同文本以及采购标的、规格型号、采购金额、采购数量、技术和服务要求等事项签订政府采购合同。 </w:t>
      </w:r>
    </w:p>
    <w:p w14:paraId="597F5EB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1.2自政府采购合同签订之日起2个工作日内，将政府采购合同在指定的媒体上公告。</w:t>
      </w:r>
    </w:p>
    <w:p w14:paraId="2824ADD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1.3 磋商文件、成交供应商的响应文件及磋商采购过程中有关澄清、承诺文件均作为合同附件。 </w:t>
      </w:r>
    </w:p>
    <w:p w14:paraId="0B4D47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p>
    <w:p w14:paraId="461A15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2、标的物的追加</w:t>
      </w:r>
    </w:p>
    <w:p w14:paraId="1CA7340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D40039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3、履约保证金</w:t>
      </w:r>
      <w:r>
        <w:rPr>
          <w:rFonts w:hint="eastAsia" w:cs="宋体"/>
          <w:color w:val="auto"/>
          <w:sz w:val="22"/>
          <w:highlight w:val="none"/>
          <w:lang w:val="en-US" w:eastAsia="zh-CN"/>
        </w:rPr>
        <w:t>：本项目不收取履约保证金。</w:t>
      </w:r>
    </w:p>
    <w:p w14:paraId="1F723D3C">
      <w:pPr>
        <w:widowControl/>
        <w:numPr>
          <w:ilvl w:val="0"/>
          <w:numId w:val="0"/>
        </w:numPr>
        <w:spacing w:line="460" w:lineRule="exact"/>
        <w:ind w:firstLine="480"/>
        <w:jc w:val="center"/>
        <w:rPr>
          <w:rFonts w:hint="eastAsia" w:ascii="宋体" w:hAnsi="宋体" w:eastAsia="宋体" w:cs="宋体"/>
          <w:b/>
          <w:bCs/>
          <w:color w:val="auto"/>
          <w:sz w:val="24"/>
          <w:highlight w:val="none"/>
          <w:lang w:bidi="ar"/>
        </w:rPr>
      </w:pPr>
      <w:r>
        <w:rPr>
          <w:rFonts w:hint="eastAsia" w:ascii="宋体" w:hAnsi="宋体" w:eastAsia="宋体" w:cs="宋体"/>
          <w:b/>
          <w:bCs/>
          <w:color w:val="auto"/>
          <w:sz w:val="24"/>
          <w:szCs w:val="24"/>
          <w:highlight w:val="none"/>
          <w:lang w:val="en-US" w:eastAsia="zh-CN" w:bidi="ar"/>
        </w:rPr>
        <w:t>九、</w:t>
      </w:r>
      <w:r>
        <w:rPr>
          <w:rFonts w:hint="eastAsia" w:ascii="宋体" w:hAnsi="宋体" w:eastAsia="宋体" w:cs="宋体"/>
          <w:b/>
          <w:bCs/>
          <w:color w:val="auto"/>
          <w:sz w:val="24"/>
          <w:highlight w:val="none"/>
          <w:lang w:bidi="ar"/>
        </w:rPr>
        <w:t>政策功能</w:t>
      </w:r>
    </w:p>
    <w:p w14:paraId="102226E5">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lang w:val="en-US" w:eastAsia="zh-CN"/>
        </w:rPr>
        <w:t>1、本项目面向中小企业采购：</w:t>
      </w:r>
    </w:p>
    <w:p w14:paraId="674B437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p>
    <w:p w14:paraId="4481432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66CAB1DA">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中小企业参加政府采购活动，应当出具本办法规定的《中小企业声明函》，否则不得享受相关中小企业扶持政策。 </w:t>
      </w:r>
    </w:p>
    <w:p w14:paraId="12F4D1B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3.供应商为残疾人福利性单位且提供的货物全部由残疾人福利性单位制造的，符合财 库〔2017〕141 号文件规定条件的残疾人福利性单位视同小型、微型企业，提供《残疾人福利性单位声明函》。 </w:t>
      </w:r>
    </w:p>
    <w:p w14:paraId="746ECFC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6A95EB48">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314DA65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5.在政府采购活动中，供应商提供的货物、工程或者服务符合下列情形的，享受本办法规定的中小企业扶持政策： </w:t>
      </w:r>
    </w:p>
    <w:p w14:paraId="54DACF3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（一）在货物采购项目中，货物由中小企业制造，即货物由中小企业生产且使用该中小企业商号或者注册商标； </w:t>
      </w:r>
    </w:p>
    <w:p w14:paraId="79180AE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（二）在工程采购项目中，工程由中小企业承建，即工程施工单位为中小企业； </w:t>
      </w:r>
    </w:p>
    <w:p w14:paraId="7C3591E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0CC6CB3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以上规定未尽事项，按《政府采购促进中小企业发展管理办法》等有关制度规定执行。 </w:t>
      </w:r>
    </w:p>
    <w:p w14:paraId="404EBAC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6.《中小企业声明函》等相关资料应上传至电子投标文件中，否则不予认可。 </w:t>
      </w:r>
    </w:p>
    <w:p w14:paraId="028D676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7.本项目属性为工程类，采购标的对应的中小企业划分标准所属行业为建筑业。 </w:t>
      </w:r>
    </w:p>
    <w:p w14:paraId="7822A1E1">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2、支持绿色发展</w:t>
      </w:r>
    </w:p>
    <w:p w14:paraId="2CBD571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51E26DC5">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1B81F89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53E8964F">
      <w:pPr>
        <w:widowControl/>
        <w:spacing w:line="460" w:lineRule="exact"/>
        <w:ind w:firstLine="482"/>
        <w:jc w:val="center"/>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bidi="ar"/>
        </w:rPr>
        <w:t>十</w:t>
      </w:r>
      <w:r>
        <w:rPr>
          <w:rFonts w:hint="eastAsia" w:ascii="宋体" w:hAnsi="宋体" w:eastAsia="宋体" w:cs="宋体"/>
          <w:b/>
          <w:bCs/>
          <w:color w:val="auto"/>
          <w:sz w:val="24"/>
          <w:highlight w:val="none"/>
          <w:lang w:bidi="ar"/>
        </w:rPr>
        <w:t>、质疑和投诉</w:t>
      </w:r>
    </w:p>
    <w:p w14:paraId="4558D92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1、质疑的提出 </w:t>
      </w:r>
    </w:p>
    <w:p w14:paraId="6B76772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1.1 提出质疑的供应商应当是参与所质疑项目采购活动的供应商。 </w:t>
      </w:r>
    </w:p>
    <w:p w14:paraId="2AC0132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未依照采购公告要求获取采购文件的供应商，视为未参与该项目的采购活动，不具备对该采购文件提出质疑的法定权利。 </w:t>
      </w:r>
    </w:p>
    <w:p w14:paraId="31B4A02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1.3 提出质疑时，必须坚持“谁主张，谁举证”“实事求是”的原则，不能臆测。 </w:t>
      </w:r>
    </w:p>
    <w:p w14:paraId="7A37B0D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7A146A8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1.4 质疑函的接收方式为供应商书面原件提交。联系部门、联系电话和通讯地址详见本磋商文件“竞争性磋商采购公告”。质疑实行实名制，不得进行虚假、恶意质疑。 </w:t>
      </w:r>
    </w:p>
    <w:p w14:paraId="7376D9B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供应商提出质疑应当提交质疑函和必要的证明材料。应当包括下列内容： </w:t>
      </w:r>
    </w:p>
    <w:p w14:paraId="1EFC288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（1）供应商的姓名或者名称、地址、邮编、联系人及联系电话； </w:t>
      </w:r>
    </w:p>
    <w:p w14:paraId="678081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（2）质疑项目的名称、编号； </w:t>
      </w:r>
    </w:p>
    <w:p w14:paraId="778D52C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（3）具体、明确的质疑事项和与质疑事项相关的请求； </w:t>
      </w:r>
    </w:p>
    <w:p w14:paraId="3075DA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（4）事实依据； </w:t>
      </w:r>
    </w:p>
    <w:p w14:paraId="0A2854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（5）必要的法律依据； </w:t>
      </w:r>
    </w:p>
    <w:p w14:paraId="488748F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（6）提出质疑的日期； </w:t>
      </w:r>
    </w:p>
    <w:p w14:paraId="0BB0430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（7）必要的证明材料； </w:t>
      </w:r>
    </w:p>
    <w:p w14:paraId="1EC0993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（8）采购文件(交易文件)下载回执函； </w:t>
      </w:r>
    </w:p>
    <w:p w14:paraId="0B5993C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（9）营业执照复印件及法定代表人授权委托书、法定代表人身份证复印件、委托代理人身份证复印件。 </w:t>
      </w:r>
    </w:p>
    <w:p w14:paraId="1ADFBD8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供应商为自然人的，应当由本人签字；供应商为法人或者其他组织的，应当由法定代表人、主要负责人，或者其委托代理人签字或者盖章，并加盖单位公章。 </w:t>
      </w:r>
    </w:p>
    <w:p w14:paraId="6AD5B57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2、质疑函的受理和答复 </w:t>
      </w:r>
    </w:p>
    <w:p w14:paraId="31E0DB9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p>
    <w:p w14:paraId="566AE11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50C30D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2.3 对不符合质疑要求的，采购人、代理机构有权要求其补充必要的证明材料，质疑供应商未在法定的时间内提供补充必要的证明材料的，视同放弃质疑。 </w:t>
      </w:r>
    </w:p>
    <w:p w14:paraId="7F8E2D2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1A2EAEA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3、质疑处理 </w:t>
      </w:r>
    </w:p>
    <w:p w14:paraId="014735B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3.1 质疑供应商不按照法定程序进行质疑投诉的，视为一般失信行为。 </w:t>
      </w:r>
    </w:p>
    <w:p w14:paraId="7750A7F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3.2 质疑供应商不配合或者采用不正当手段干扰政府采购质疑、投诉处理工作的，视为一般失信行为。 </w:t>
      </w:r>
    </w:p>
    <w:p w14:paraId="5A61621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3.3 质疑供应商投诉受理期间，就同一事项多头举报，干扰财政部门投诉处理的，视为一般失信行为。 </w:t>
      </w:r>
    </w:p>
    <w:p w14:paraId="09A3334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3.4 质疑供应商在全国范围 12 个月内三次以上质疑查无实据的，视为一般失信行为。 </w:t>
      </w:r>
    </w:p>
    <w:p w14:paraId="1CA50E9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p>
    <w:p w14:paraId="6943DA1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3.6 未尽事宜，依照有关法律、法规执行。 </w:t>
      </w:r>
    </w:p>
    <w:p w14:paraId="7CFFD2E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4、投诉 </w:t>
      </w:r>
    </w:p>
    <w:p w14:paraId="2F0FBF8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投诉事项依照有关法律、法规执行。</w:t>
      </w:r>
    </w:p>
    <w:p w14:paraId="3351CF0F">
      <w:pPr>
        <w:jc w:val="cente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val="en-US" w:eastAsia="zh-CN" w:bidi="ar"/>
        </w:rPr>
        <w:t>十一、</w:t>
      </w:r>
      <w:r>
        <w:rPr>
          <w:rFonts w:hint="eastAsia" w:ascii="宋体" w:hAnsi="宋体" w:eastAsia="宋体" w:cs="宋体"/>
          <w:b/>
          <w:bCs/>
          <w:color w:val="auto"/>
          <w:sz w:val="24"/>
          <w:highlight w:val="none"/>
          <w:lang w:bidi="ar"/>
        </w:rPr>
        <w:t>其他事项</w:t>
      </w:r>
    </w:p>
    <w:p w14:paraId="73CC4D51">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1、解释权</w:t>
      </w:r>
    </w:p>
    <w:p w14:paraId="3A61874A">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4C937A21">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br w:type="page" w:clear="all"/>
      </w:r>
    </w:p>
    <w:p w14:paraId="599FF906">
      <w:pPr>
        <w:pStyle w:val="5"/>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第三章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政府采购合同格式</w:t>
      </w:r>
    </w:p>
    <w:p w14:paraId="68DB2CC7">
      <w:pPr>
        <w:widowControl/>
        <w:spacing w:line="360" w:lineRule="auto"/>
        <w:jc w:val="center"/>
        <w:rPr>
          <w:rFonts w:hint="eastAsia" w:ascii="宋体" w:hAnsi="宋体" w:eastAsia="宋体" w:cs="宋体"/>
          <w:b/>
          <w:bCs/>
          <w:color w:val="auto"/>
          <w:sz w:val="52"/>
          <w:szCs w:val="52"/>
          <w:highlight w:val="none"/>
          <w:lang w:bidi="ar"/>
        </w:rPr>
      </w:pPr>
    </w:p>
    <w:p w14:paraId="50D507B6">
      <w:pPr>
        <w:widowControl/>
        <w:spacing w:line="360" w:lineRule="auto"/>
        <w:jc w:val="center"/>
        <w:rPr>
          <w:rFonts w:hint="eastAsia" w:ascii="宋体" w:hAnsi="宋体" w:eastAsia="宋体" w:cs="宋体"/>
          <w:b/>
          <w:bCs/>
          <w:color w:val="auto"/>
          <w:sz w:val="52"/>
          <w:szCs w:val="52"/>
          <w:highlight w:val="none"/>
          <w:lang w:bidi="ar"/>
        </w:rPr>
      </w:pPr>
    </w:p>
    <w:p w14:paraId="24378CAA">
      <w:pPr>
        <w:widowControl/>
        <w:spacing w:line="360" w:lineRule="auto"/>
        <w:jc w:val="center"/>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t>赣 榆 区 政 府 采 购</w:t>
      </w:r>
    </w:p>
    <w:p w14:paraId="3A0BC5BE">
      <w:pPr>
        <w:widowControl/>
        <w:spacing w:line="360" w:lineRule="auto"/>
        <w:ind w:firstLine="1041"/>
        <w:jc w:val="left"/>
        <w:rPr>
          <w:rFonts w:hint="eastAsia" w:ascii="宋体" w:hAnsi="宋体" w:eastAsia="宋体" w:cs="宋体"/>
          <w:b/>
          <w:bCs/>
          <w:color w:val="auto"/>
          <w:sz w:val="52"/>
          <w:szCs w:val="52"/>
          <w:highlight w:val="none"/>
          <w:lang w:bidi="ar"/>
        </w:rPr>
      </w:pPr>
    </w:p>
    <w:p w14:paraId="06FBA0C5">
      <w:pPr>
        <w:widowControl/>
        <w:tabs>
          <w:tab w:val="left" w:pos="899"/>
        </w:tabs>
        <w:spacing w:line="360" w:lineRule="auto"/>
        <w:ind w:firstLine="1291"/>
        <w:jc w:val="left"/>
        <w:rPr>
          <w:rFonts w:hint="eastAsia" w:ascii="宋体" w:hAnsi="宋体" w:eastAsia="宋体" w:cs="宋体"/>
          <w:color w:val="auto"/>
          <w:highlight w:val="none"/>
        </w:rPr>
      </w:pPr>
      <w:r>
        <w:rPr>
          <w:rFonts w:hint="eastAsia" w:ascii="宋体" w:hAnsi="宋体" w:eastAsia="宋体" w:cs="宋体"/>
          <w:b/>
          <w:bCs/>
          <w:color w:val="auto"/>
          <w:sz w:val="43"/>
          <w:szCs w:val="43"/>
          <w:highlight w:val="none"/>
          <w:u w:val="single"/>
          <w:lang w:bidi="ar"/>
        </w:rPr>
        <w:t xml:space="preserve">                         </w:t>
      </w:r>
      <w:r>
        <w:rPr>
          <w:rFonts w:hint="eastAsia" w:ascii="宋体" w:hAnsi="宋体" w:eastAsia="宋体" w:cs="宋体"/>
          <w:b/>
          <w:bCs/>
          <w:color w:val="auto"/>
          <w:sz w:val="43"/>
          <w:szCs w:val="43"/>
          <w:highlight w:val="none"/>
          <w:lang w:bidi="ar"/>
        </w:rPr>
        <w:t xml:space="preserve">合同 </w:t>
      </w:r>
    </w:p>
    <w:p w14:paraId="6B0DBAD2">
      <w:pPr>
        <w:widowControl/>
        <w:spacing w:line="360" w:lineRule="auto"/>
        <w:ind w:firstLine="860"/>
        <w:jc w:val="left"/>
        <w:rPr>
          <w:rFonts w:hint="eastAsia" w:ascii="宋体" w:hAnsi="宋体" w:eastAsia="宋体" w:cs="宋体"/>
          <w:b/>
          <w:bCs/>
          <w:color w:val="auto"/>
          <w:sz w:val="43"/>
          <w:szCs w:val="43"/>
          <w:highlight w:val="none"/>
          <w:lang w:bidi="ar"/>
        </w:rPr>
      </w:pPr>
    </w:p>
    <w:p w14:paraId="6AB8AD5F">
      <w:pPr>
        <w:widowControl/>
        <w:spacing w:line="360" w:lineRule="auto"/>
        <w:ind w:firstLine="860"/>
        <w:jc w:val="left"/>
        <w:rPr>
          <w:rFonts w:hint="eastAsia" w:ascii="宋体" w:hAnsi="宋体" w:eastAsia="宋体" w:cs="宋体"/>
          <w:b/>
          <w:bCs/>
          <w:color w:val="auto"/>
          <w:sz w:val="43"/>
          <w:szCs w:val="43"/>
          <w:highlight w:val="none"/>
          <w:lang w:bidi="ar"/>
        </w:rPr>
      </w:pPr>
    </w:p>
    <w:p w14:paraId="1E514695">
      <w:pPr>
        <w:pStyle w:val="60"/>
        <w:rPr>
          <w:rFonts w:hint="eastAsia" w:ascii="宋体" w:hAnsi="宋体" w:eastAsia="宋体" w:cs="宋体"/>
          <w:b/>
          <w:bCs/>
          <w:color w:val="auto"/>
          <w:sz w:val="43"/>
          <w:szCs w:val="43"/>
          <w:highlight w:val="none"/>
          <w:lang w:bidi="ar"/>
        </w:rPr>
      </w:pPr>
    </w:p>
    <w:p w14:paraId="5FCF5F77">
      <w:pPr>
        <w:rPr>
          <w:rFonts w:hint="eastAsia" w:ascii="宋体" w:hAnsi="宋体" w:eastAsia="宋体" w:cs="宋体"/>
          <w:color w:val="auto"/>
          <w:highlight w:val="none"/>
        </w:rPr>
      </w:pPr>
    </w:p>
    <w:p w14:paraId="07F193A2">
      <w:pPr>
        <w:widowControl/>
        <w:spacing w:line="360" w:lineRule="auto"/>
        <w:ind w:firstLine="800"/>
        <w:jc w:val="left"/>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合同编号： </w:t>
      </w:r>
    </w:p>
    <w:p w14:paraId="379A9F73">
      <w:pPr>
        <w:widowControl/>
        <w:spacing w:line="360" w:lineRule="auto"/>
        <w:ind w:firstLine="860"/>
        <w:jc w:val="left"/>
        <w:rPr>
          <w:rFonts w:hint="eastAsia" w:ascii="宋体" w:hAnsi="宋体" w:eastAsia="宋体" w:cs="宋体"/>
          <w:b/>
          <w:bCs/>
          <w:color w:val="auto"/>
          <w:sz w:val="43"/>
          <w:szCs w:val="43"/>
          <w:highlight w:val="none"/>
          <w:lang w:bidi="ar"/>
        </w:rPr>
      </w:pPr>
    </w:p>
    <w:p w14:paraId="7C9BC3A5">
      <w:pPr>
        <w:widowControl/>
        <w:spacing w:line="360" w:lineRule="auto"/>
        <w:ind w:firstLine="860"/>
        <w:jc w:val="left"/>
        <w:rPr>
          <w:rFonts w:hint="eastAsia" w:ascii="宋体" w:hAnsi="宋体" w:eastAsia="宋体" w:cs="宋体"/>
          <w:b/>
          <w:bCs/>
          <w:color w:val="auto"/>
          <w:sz w:val="43"/>
          <w:szCs w:val="43"/>
          <w:highlight w:val="none"/>
          <w:lang w:bidi="ar"/>
        </w:rPr>
      </w:pPr>
    </w:p>
    <w:p w14:paraId="3277078A">
      <w:pPr>
        <w:rPr>
          <w:rFonts w:hint="eastAsia" w:ascii="宋体" w:hAnsi="宋体" w:eastAsia="宋体" w:cs="宋体"/>
          <w:b/>
          <w:bCs/>
          <w:color w:val="auto"/>
          <w:sz w:val="43"/>
          <w:szCs w:val="43"/>
          <w:highlight w:val="none"/>
          <w:lang w:bidi="ar"/>
        </w:rPr>
      </w:pPr>
    </w:p>
    <w:p w14:paraId="5B85EC51">
      <w:pPr>
        <w:pStyle w:val="60"/>
        <w:rPr>
          <w:rFonts w:hint="eastAsia" w:ascii="宋体" w:hAnsi="宋体" w:eastAsia="宋体" w:cs="宋体"/>
          <w:color w:val="auto"/>
          <w:highlight w:val="none"/>
        </w:rPr>
      </w:pPr>
    </w:p>
    <w:p w14:paraId="54351B86">
      <w:pPr>
        <w:widowControl/>
        <w:spacing w:line="360" w:lineRule="auto"/>
        <w:ind w:firstLine="800"/>
        <w:jc w:val="left"/>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采购人： </w:t>
      </w:r>
    </w:p>
    <w:p w14:paraId="4D1AFE0F">
      <w:pPr>
        <w:widowControl/>
        <w:spacing w:line="360" w:lineRule="auto"/>
        <w:ind w:firstLine="800"/>
        <w:jc w:val="left"/>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40"/>
          <w:szCs w:val="40"/>
          <w:highlight w:val="none"/>
          <w:lang w:bidi="ar"/>
        </w:rPr>
        <w:t xml:space="preserve">成交供应商： </w:t>
      </w:r>
    </w:p>
    <w:p w14:paraId="04DF736F">
      <w:pPr>
        <w:rPr>
          <w:rStyle w:val="226"/>
          <w:rFonts w:hint="eastAsia" w:ascii="宋体" w:hAnsi="宋体" w:eastAsia="宋体" w:cs="宋体"/>
          <w:b/>
          <w:color w:val="auto"/>
          <w:sz w:val="28"/>
          <w:highlight w:val="none"/>
        </w:rPr>
      </w:pPr>
      <w:r>
        <w:rPr>
          <w:rStyle w:val="226"/>
          <w:rFonts w:hint="eastAsia" w:ascii="宋体" w:hAnsi="宋体" w:eastAsia="宋体" w:cs="宋体"/>
          <w:b/>
          <w:color w:val="auto"/>
          <w:sz w:val="28"/>
          <w:highlight w:val="none"/>
        </w:rPr>
        <w:br w:type="page" w:clear="all"/>
      </w:r>
    </w:p>
    <w:p w14:paraId="598A9454">
      <w:pPr>
        <w:pStyle w:val="5"/>
        <w:jc w:val="center"/>
        <w:rPr>
          <w:rFonts w:hint="eastAsia" w:ascii="宋体" w:hAnsi="宋体" w:eastAsia="宋体" w:cs="宋体"/>
          <w:b w:val="0"/>
          <w:color w:val="auto"/>
          <w:szCs w:val="21"/>
          <w:highlight w:val="none"/>
        </w:rPr>
      </w:pPr>
      <w:bookmarkStart w:id="6" w:name="_Toc530387519"/>
      <w:bookmarkStart w:id="7" w:name="_Toc6661900"/>
      <w:bookmarkStart w:id="8" w:name="_Toc234382945"/>
      <w:bookmarkStart w:id="9" w:name="_Toc506110709"/>
      <w:bookmarkStart w:id="10" w:name="_Toc525310551"/>
      <w:r>
        <w:rPr>
          <w:rFonts w:hint="eastAsia" w:ascii="宋体" w:hAnsi="宋体" w:eastAsia="宋体" w:cs="宋体"/>
          <w:color w:val="auto"/>
          <w:szCs w:val="21"/>
          <w:highlight w:val="none"/>
        </w:rPr>
        <w:t>第一部分 合同协议书</w:t>
      </w:r>
      <w:bookmarkEnd w:id="6"/>
      <w:bookmarkEnd w:id="7"/>
    </w:p>
    <w:p w14:paraId="142A2465">
      <w:pPr>
        <w:spacing w:line="460" w:lineRule="exact"/>
        <w:ind w:left="105" w:right="105" w:firstLine="48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发包人（全称）：</w:t>
      </w:r>
      <w:r>
        <w:rPr>
          <w:rFonts w:hint="eastAsia" w:ascii="宋体" w:hAnsi="宋体" w:eastAsia="宋体" w:cs="宋体"/>
          <w:b/>
          <w:color w:val="auto"/>
          <w:szCs w:val="21"/>
          <w:highlight w:val="none"/>
          <w:u w:val="single"/>
        </w:rPr>
        <w:t xml:space="preserve">                                 </w:t>
      </w:r>
    </w:p>
    <w:p w14:paraId="02C1924D">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承包人（全称）：</w:t>
      </w:r>
      <w:r>
        <w:rPr>
          <w:rFonts w:hint="eastAsia" w:ascii="宋体" w:hAnsi="宋体" w:eastAsia="宋体" w:cs="宋体"/>
          <w:color w:val="auto"/>
          <w:szCs w:val="21"/>
          <w:highlight w:val="none"/>
          <w:u w:val="single"/>
        </w:rPr>
        <w:t xml:space="preserve">                                  </w:t>
      </w:r>
    </w:p>
    <w:p w14:paraId="029B4FCD">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w:t>
      </w:r>
      <w:r>
        <w:rPr>
          <w:rFonts w:hint="eastAsia" w:ascii="宋体" w:hAnsi="宋体" w:eastAsia="宋体" w:cs="宋体"/>
          <w:color w:val="auto"/>
          <w:szCs w:val="21"/>
          <w:highlight w:val="none"/>
          <w:lang w:eastAsia="zh-CN"/>
        </w:rPr>
        <w:t>民法典</w:t>
      </w:r>
      <w:r>
        <w:rPr>
          <w:rFonts w:hint="eastAsia" w:ascii="宋体" w:hAnsi="宋体" w:eastAsia="宋体" w:cs="宋体"/>
          <w:color w:val="auto"/>
          <w:szCs w:val="21"/>
          <w:highlight w:val="none"/>
        </w:rPr>
        <w:t>》、《中华人民共和国建筑法》及有关法律规定，遵循平等、自愿、公平和诚实信用的原则，双方就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cs="宋体"/>
          <w:color w:val="auto"/>
          <w:szCs w:val="21"/>
          <w:highlight w:val="none"/>
          <w:u w:val="single"/>
          <w:lang w:eastAsia="zh-CN"/>
        </w:rPr>
        <w:t>赣榆区墩尚镇墩新线（刁疃-颜庄-老204国道）改建工程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及有关事项协商一致，共同达成如下协议：</w:t>
      </w:r>
    </w:p>
    <w:p w14:paraId="7008CFA9">
      <w:pPr>
        <w:spacing w:line="460" w:lineRule="exact"/>
        <w:ind w:left="105" w:right="105" w:firstLine="48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一、工程概况</w:t>
      </w:r>
    </w:p>
    <w:p w14:paraId="29F653A2">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1、工程名称：</w:t>
      </w:r>
      <w:r>
        <w:rPr>
          <w:rFonts w:hint="eastAsia" w:ascii="宋体" w:hAnsi="宋体" w:eastAsia="宋体" w:cs="宋体"/>
          <w:color w:val="auto"/>
          <w:szCs w:val="21"/>
          <w:highlight w:val="none"/>
          <w:u w:val="single"/>
        </w:rPr>
        <w:t xml:space="preserve">  </w:t>
      </w:r>
      <w:r>
        <w:rPr>
          <w:rFonts w:hint="eastAsia" w:cs="宋体"/>
          <w:color w:val="auto"/>
          <w:szCs w:val="21"/>
          <w:highlight w:val="none"/>
          <w:u w:val="single"/>
          <w:lang w:eastAsia="zh-CN"/>
        </w:rPr>
        <w:t>赣榆区墩尚镇墩新线（刁疃-颜庄-老204国道）改建工程</w:t>
      </w:r>
      <w:r>
        <w:rPr>
          <w:rFonts w:hint="eastAsia" w:ascii="宋体" w:hAnsi="宋体" w:eastAsia="宋体" w:cs="宋体"/>
          <w:color w:val="auto"/>
          <w:szCs w:val="21"/>
          <w:highlight w:val="none"/>
          <w:u w:val="single"/>
        </w:rPr>
        <w:t xml:space="preserve">  </w:t>
      </w:r>
    </w:p>
    <w:p w14:paraId="1D9E8DA4">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2、工程地点：</w:t>
      </w:r>
      <w:r>
        <w:rPr>
          <w:rFonts w:hint="eastAsia" w:ascii="宋体" w:hAnsi="宋体" w:eastAsia="宋体" w:cs="宋体"/>
          <w:color w:val="auto"/>
          <w:szCs w:val="21"/>
          <w:highlight w:val="none"/>
          <w:u w:val="single"/>
        </w:rPr>
        <w:t xml:space="preserve">  </w:t>
      </w:r>
      <w:r>
        <w:rPr>
          <w:rFonts w:hint="eastAsia" w:cs="宋体"/>
          <w:color w:val="auto"/>
          <w:szCs w:val="21"/>
          <w:highlight w:val="none"/>
          <w:u w:val="single"/>
          <w:lang w:eastAsia="zh-CN"/>
        </w:rPr>
        <w:t>赣榆区城西镇驻地</w:t>
      </w:r>
      <w:r>
        <w:rPr>
          <w:rFonts w:hint="eastAsia" w:ascii="宋体" w:hAnsi="宋体" w:eastAsia="宋体" w:cs="宋体"/>
          <w:color w:val="auto"/>
          <w:szCs w:val="21"/>
          <w:highlight w:val="none"/>
          <w:u w:val="single"/>
        </w:rPr>
        <w:t xml:space="preserve">  </w:t>
      </w:r>
    </w:p>
    <w:p w14:paraId="6B48957B">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3、工程立项批准文号：</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u w:val="single"/>
        </w:rPr>
        <w:t xml:space="preserve">    </w:t>
      </w:r>
      <w:r>
        <w:rPr>
          <w:rFonts w:hint="eastAsia" w:cs="宋体"/>
          <w:bCs/>
          <w:color w:val="auto"/>
          <w:szCs w:val="21"/>
          <w:highlight w:val="none"/>
          <w:u w:val="single"/>
          <w:lang w:val="en-US" w:eastAsia="zh-CN"/>
        </w:rPr>
        <w:t>/</w:t>
      </w:r>
      <w:r>
        <w:rPr>
          <w:rFonts w:hint="eastAsia" w:ascii="宋体" w:hAnsi="宋体" w:eastAsia="宋体" w:cs="宋体"/>
          <w:bCs/>
          <w:color w:val="auto"/>
          <w:szCs w:val="21"/>
          <w:highlight w:val="none"/>
          <w:u w:val="single"/>
        </w:rPr>
        <w:t xml:space="preserve">      </w:t>
      </w:r>
    </w:p>
    <w:p w14:paraId="4A10647A">
      <w:pPr>
        <w:spacing w:line="460" w:lineRule="exact"/>
        <w:ind w:left="105" w:right="105" w:firstLine="480"/>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rPr>
        <w:t>4、资金来源：</w:t>
      </w:r>
      <w:r>
        <w:rPr>
          <w:rFonts w:hint="eastAsia" w:ascii="宋体" w:hAnsi="宋体" w:eastAsia="宋体" w:cs="宋体"/>
          <w:color w:val="auto"/>
          <w:szCs w:val="21"/>
          <w:highlight w:val="none"/>
          <w:u w:val="single"/>
          <w:lang w:val="en-US" w:eastAsia="zh-CN"/>
        </w:rPr>
        <w:t xml:space="preserve">   </w:t>
      </w:r>
      <w:r>
        <w:rPr>
          <w:rFonts w:hint="eastAsia" w:cs="宋体"/>
          <w:color w:val="auto"/>
          <w:szCs w:val="21"/>
          <w:highlight w:val="none"/>
          <w:u w:val="single"/>
          <w:lang w:val="en-US" w:eastAsia="zh-CN"/>
        </w:rPr>
        <w:t>财政</w:t>
      </w:r>
      <w:r>
        <w:rPr>
          <w:rFonts w:hint="eastAsia" w:ascii="宋体" w:hAnsi="宋体" w:eastAsia="宋体" w:cs="宋体"/>
          <w:color w:val="auto"/>
          <w:szCs w:val="21"/>
          <w:highlight w:val="none"/>
          <w:u w:val="single"/>
          <w:lang w:val="en-US" w:eastAsia="zh-CN"/>
        </w:rPr>
        <w:t xml:space="preserve">    </w:t>
      </w:r>
    </w:p>
    <w:p w14:paraId="322548E6">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u w:val="single"/>
          <w:lang w:val="en-US" w:eastAsia="zh-CN" w:bidi="ar"/>
        </w:rPr>
      </w:pPr>
      <w:r>
        <w:rPr>
          <w:rFonts w:hint="eastAsia" w:ascii="宋体" w:hAnsi="宋体" w:eastAsia="宋体" w:cs="宋体"/>
          <w:color w:val="auto"/>
          <w:szCs w:val="21"/>
          <w:highlight w:val="none"/>
        </w:rPr>
        <w:t>5、工程内容：</w:t>
      </w:r>
      <w:r>
        <w:rPr>
          <w:rFonts w:hint="eastAsia" w:cs="宋体"/>
          <w:color w:val="auto"/>
          <w:sz w:val="22"/>
          <w:szCs w:val="22"/>
          <w:highlight w:val="none"/>
          <w:u w:val="single"/>
          <w:lang w:eastAsia="zh-CN" w:bidi="ar"/>
        </w:rPr>
        <w:t>赣榆区墩尚镇墩新线（刁疃-颜庄-老204国道）改建工程</w:t>
      </w:r>
      <w:r>
        <w:rPr>
          <w:rFonts w:hint="eastAsia" w:ascii="宋体" w:hAnsi="宋体" w:eastAsia="宋体" w:cs="宋体"/>
          <w:color w:val="auto"/>
          <w:sz w:val="22"/>
          <w:szCs w:val="22"/>
          <w:highlight w:val="none"/>
          <w:u w:val="single"/>
          <w:lang w:eastAsia="zh-CN" w:bidi="ar"/>
        </w:rPr>
        <w:t>，设备</w:t>
      </w:r>
      <w:r>
        <w:rPr>
          <w:rFonts w:hint="eastAsia" w:ascii="宋体" w:hAnsi="宋体" w:eastAsia="宋体" w:cs="宋体"/>
          <w:color w:val="auto"/>
          <w:sz w:val="22"/>
          <w:szCs w:val="22"/>
          <w:highlight w:val="none"/>
          <w:u w:val="single"/>
          <w:lang w:val="en-US" w:eastAsia="zh-CN" w:bidi="ar"/>
        </w:rPr>
        <w:t>主体工艺设计规模为40m3/d。主要构筑物包括：格栅槽、调节池、强化预处理反应池、生态景观河道等,设备运行维护服务及运行维护期电费。运行维护期3年，运行维护期以甲方验收合格之日起，运行维护服务期内免费包维修、保养、安检、调换等(具体内容详见工程量清单及图纸)。</w:t>
      </w:r>
    </w:p>
    <w:p w14:paraId="4B9AEAFC">
      <w:pPr>
        <w:spacing w:line="460" w:lineRule="exact"/>
        <w:ind w:left="105" w:right="105" w:firstLine="480"/>
        <w:rPr>
          <w:rFonts w:hint="eastAsia" w:ascii="宋体" w:hAnsi="宋体" w:eastAsia="宋体" w:cs="宋体"/>
          <w:color w:val="auto"/>
          <w:sz w:val="22"/>
          <w:szCs w:val="22"/>
          <w:highlight w:val="none"/>
          <w:u w:val="single"/>
          <w:lang w:val="en-US" w:eastAsia="zh-CN" w:bidi="ar"/>
        </w:rPr>
      </w:pPr>
      <w:r>
        <w:rPr>
          <w:rFonts w:hint="eastAsia" w:ascii="宋体" w:hAnsi="宋体" w:eastAsia="宋体" w:cs="宋体"/>
          <w:color w:val="auto"/>
          <w:szCs w:val="21"/>
          <w:highlight w:val="none"/>
        </w:rPr>
        <w:t>6、工程承包范围：</w:t>
      </w:r>
      <w:r>
        <w:rPr>
          <w:rFonts w:hint="eastAsia" w:cs="宋体"/>
          <w:color w:val="auto"/>
          <w:sz w:val="22"/>
          <w:szCs w:val="22"/>
          <w:highlight w:val="none"/>
          <w:u w:val="single"/>
          <w:lang w:eastAsia="zh-CN" w:bidi="ar"/>
        </w:rPr>
        <w:t>赣榆区墩尚镇墩新线（刁疃-颜庄-老204国道）改建工程</w:t>
      </w:r>
      <w:r>
        <w:rPr>
          <w:rFonts w:hint="eastAsia" w:ascii="宋体" w:hAnsi="宋体" w:eastAsia="宋体" w:cs="宋体"/>
          <w:color w:val="auto"/>
          <w:sz w:val="22"/>
          <w:szCs w:val="22"/>
          <w:highlight w:val="none"/>
          <w:u w:val="single"/>
          <w:lang w:eastAsia="zh-CN" w:bidi="ar"/>
        </w:rPr>
        <w:t>，设备</w:t>
      </w:r>
      <w:r>
        <w:rPr>
          <w:rFonts w:hint="eastAsia" w:ascii="宋体" w:hAnsi="宋体" w:eastAsia="宋体" w:cs="宋体"/>
          <w:color w:val="auto"/>
          <w:sz w:val="22"/>
          <w:szCs w:val="22"/>
          <w:highlight w:val="none"/>
          <w:u w:val="single"/>
          <w:lang w:val="en-US" w:eastAsia="zh-CN" w:bidi="ar"/>
        </w:rPr>
        <w:t>主体工艺设计规模为40m3/d。主要构筑物包括：格栅槽、调节池、强化预处理反应池、生态景观河道等,设备运行维护服务及运行维护期电费。运行维护期3年，运行维护期以甲方验收合格之日起，运行维护服务期内免费包维修、保养、安检、调换等(具体内容详见工程量清单及图纸)。</w:t>
      </w:r>
    </w:p>
    <w:p w14:paraId="75E14CA8">
      <w:pPr>
        <w:spacing w:line="460" w:lineRule="exact"/>
        <w:ind w:left="105" w:right="105" w:firstLine="48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二、合同工期：</w:t>
      </w:r>
    </w:p>
    <w:p w14:paraId="534A8863">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计划开工日期：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0185951F">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计划竣工日期：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37BB54F5">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工期总日历天数：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日历天。工期总日历天数与根据前述计划开竣工日期计算的工期天数不一致的，以工期总日历天数为准。</w:t>
      </w:r>
    </w:p>
    <w:p w14:paraId="31881D67">
      <w:pPr>
        <w:tabs>
          <w:tab w:val="right" w:pos="8716"/>
        </w:tabs>
        <w:spacing w:line="460" w:lineRule="exact"/>
        <w:ind w:left="105" w:right="105" w:firstLine="48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三、质量标准</w:t>
      </w:r>
      <w:r>
        <w:rPr>
          <w:rFonts w:hint="eastAsia" w:ascii="宋体" w:hAnsi="宋体" w:eastAsia="宋体" w:cs="宋体"/>
          <w:b/>
          <w:color w:val="auto"/>
          <w:szCs w:val="21"/>
          <w:highlight w:val="none"/>
        </w:rPr>
        <w:tab/>
      </w:r>
    </w:p>
    <w:p w14:paraId="247534B2">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工程质量符合：</w:t>
      </w:r>
      <w:r>
        <w:rPr>
          <w:rFonts w:hint="eastAsia" w:ascii="宋体" w:hAnsi="宋体" w:eastAsia="宋体" w:cs="宋体"/>
          <w:color w:val="auto"/>
          <w:szCs w:val="21"/>
          <w:highlight w:val="none"/>
          <w:u w:val="single"/>
        </w:rPr>
        <w:t>国家验收</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标准，等级为</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rPr>
        <w:t>合格</w:t>
      </w:r>
      <w:r>
        <w:rPr>
          <w:rFonts w:hint="eastAsia" w:ascii="宋体" w:hAnsi="宋体" w:eastAsia="宋体" w:cs="宋体"/>
          <w:color w:val="auto"/>
          <w:szCs w:val="21"/>
          <w:highlight w:val="none"/>
        </w:rPr>
        <w:t>。</w:t>
      </w:r>
    </w:p>
    <w:p w14:paraId="20D9606A">
      <w:pPr>
        <w:spacing w:line="460" w:lineRule="exact"/>
        <w:ind w:left="105" w:right="105" w:firstLine="48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四、签约合同价与合同价格形式</w:t>
      </w:r>
    </w:p>
    <w:p w14:paraId="530944B6">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1、签约合同价为：</w:t>
      </w:r>
    </w:p>
    <w:p w14:paraId="118D1D4F">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5316AF54">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2、合同价格形式：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固定</w:t>
      </w:r>
      <w:r>
        <w:rPr>
          <w:rFonts w:hint="eastAsia" w:ascii="宋体" w:hAnsi="宋体" w:eastAsia="宋体" w:cs="宋体"/>
          <w:color w:val="auto"/>
          <w:szCs w:val="21"/>
          <w:highlight w:val="none"/>
          <w:u w:val="single"/>
        </w:rPr>
        <w:t>单价合同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662D07DE">
      <w:pPr>
        <w:spacing w:line="460" w:lineRule="exact"/>
        <w:ind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五、项目经理</w:t>
      </w:r>
    </w:p>
    <w:p w14:paraId="656B91F4">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0CF7FED">
      <w:pPr>
        <w:spacing w:line="460" w:lineRule="exact"/>
        <w:ind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六、合同文件构成</w:t>
      </w:r>
    </w:p>
    <w:p w14:paraId="493ADE52">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本协议书与下列文件一起构成合同文件：</w:t>
      </w:r>
    </w:p>
    <w:p w14:paraId="38C29B85">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⑴中标通知书（如果有）；</w:t>
      </w:r>
    </w:p>
    <w:p w14:paraId="1E81D6EF">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⑵投标函；</w:t>
      </w:r>
    </w:p>
    <w:p w14:paraId="58DD0408">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⑶招标文件；</w:t>
      </w:r>
    </w:p>
    <w:p w14:paraId="4B194AD3">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⑷专用合同条款及其附件；</w:t>
      </w:r>
    </w:p>
    <w:p w14:paraId="3CFEAF0C">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⑸通用合同条款；</w:t>
      </w:r>
    </w:p>
    <w:p w14:paraId="0046F141">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⑹技术标准和要求；</w:t>
      </w:r>
    </w:p>
    <w:p w14:paraId="06A971E5">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⑺图纸；</w:t>
      </w:r>
    </w:p>
    <w:p w14:paraId="3A32F470">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⑻已标价工程量清单或预算书；</w:t>
      </w:r>
    </w:p>
    <w:p w14:paraId="1579E3A4">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⑼其他合同文件。</w:t>
      </w:r>
    </w:p>
    <w:p w14:paraId="5ABA18C3">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在合同订立及履行过程中形成的与合同有关的文件均构成合同文件组成部分。</w:t>
      </w:r>
    </w:p>
    <w:p w14:paraId="06FB84B8">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23CCF018">
      <w:pPr>
        <w:spacing w:line="460" w:lineRule="exact"/>
        <w:ind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七、承诺</w:t>
      </w:r>
    </w:p>
    <w:p w14:paraId="70BE8EA3">
      <w:pPr>
        <w:spacing w:line="460" w:lineRule="exact"/>
        <w:ind w:right="105" w:firstLine="44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1、发包人承诺按照法律规定履行项目审批手续。</w:t>
      </w:r>
    </w:p>
    <w:p w14:paraId="2E033E4C">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承包人承诺按照法律规定及合同约定组织完成工程施工，确保工程质量和安全，不进行转包及违法分包，并在缺陷责任期及保修期内承担相应的工程维修责任。</w:t>
      </w:r>
    </w:p>
    <w:p w14:paraId="6C37374C">
      <w:pPr>
        <w:spacing w:line="460" w:lineRule="exact"/>
        <w:ind w:left="105"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3、发包人和承包人通过招投标形式签订合同的，双方理解并承诺不再就同一工程另行签订与合同实质性内容相背离的协议。</w:t>
      </w:r>
    </w:p>
    <w:p w14:paraId="6AB3FF1B">
      <w:pPr>
        <w:spacing w:line="460" w:lineRule="exact"/>
        <w:ind w:left="105"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八、词语含义</w:t>
      </w:r>
    </w:p>
    <w:p w14:paraId="7225A226">
      <w:pPr>
        <w:spacing w:line="460" w:lineRule="exact"/>
        <w:ind w:left="105"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本协议书中词语含义与第二部分通用合同条款中赋予的含义相同。</w:t>
      </w:r>
    </w:p>
    <w:p w14:paraId="6D24BF80">
      <w:pPr>
        <w:spacing w:line="460" w:lineRule="exact"/>
        <w:ind w:left="105"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九、签订时间</w:t>
      </w:r>
    </w:p>
    <w:p w14:paraId="4575E0E9">
      <w:pPr>
        <w:spacing w:line="460" w:lineRule="exact"/>
        <w:ind w:left="105"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w:t>
      </w:r>
    </w:p>
    <w:p w14:paraId="3C7C1382">
      <w:pPr>
        <w:spacing w:line="460" w:lineRule="exact"/>
        <w:ind w:left="105"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十、签订地点</w:t>
      </w:r>
    </w:p>
    <w:p w14:paraId="21F16BEE">
      <w:pPr>
        <w:spacing w:line="460" w:lineRule="exact"/>
        <w:ind w:left="105"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签订。</w:t>
      </w:r>
    </w:p>
    <w:p w14:paraId="13BC2BD7">
      <w:pPr>
        <w:spacing w:line="460" w:lineRule="exact"/>
        <w:ind w:left="105"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十一、补充协议</w:t>
      </w:r>
    </w:p>
    <w:p w14:paraId="50C69C39">
      <w:pPr>
        <w:spacing w:line="460" w:lineRule="exact"/>
        <w:ind w:left="105"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合同未尽事宜，合同当事人另行签订补充协议，补充协议是合同的组成部分。</w:t>
      </w:r>
    </w:p>
    <w:p w14:paraId="1DA4386E">
      <w:pPr>
        <w:spacing w:line="460" w:lineRule="exact"/>
        <w:ind w:left="105"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十二、合同生效</w:t>
      </w:r>
    </w:p>
    <w:p w14:paraId="3FD84C4D">
      <w:pPr>
        <w:spacing w:line="460" w:lineRule="exact"/>
        <w:ind w:left="105"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本合同自</w:t>
      </w:r>
      <w:r>
        <w:rPr>
          <w:rFonts w:hint="eastAsia" w:ascii="宋体" w:hAnsi="宋体" w:eastAsia="宋体" w:cs="宋体"/>
          <w:color w:val="auto"/>
          <w:szCs w:val="21"/>
          <w:highlight w:val="none"/>
          <w:u w:val="single"/>
        </w:rPr>
        <w:t xml:space="preserve">  </w:t>
      </w:r>
      <w:r>
        <w:rPr>
          <w:rFonts w:hint="eastAsia" w:cs="宋体"/>
          <w:color w:val="auto"/>
          <w:szCs w:val="21"/>
          <w:highlight w:val="none"/>
          <w:u w:val="single"/>
          <w:lang w:val="en-US" w:eastAsia="zh-CN"/>
        </w:rPr>
        <w:t>双方签字盖章后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生效。</w:t>
      </w:r>
    </w:p>
    <w:p w14:paraId="372E0FC9">
      <w:pPr>
        <w:spacing w:line="460" w:lineRule="exact"/>
        <w:ind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十三、合同份数</w:t>
      </w:r>
    </w:p>
    <w:p w14:paraId="3EAEF15B">
      <w:pPr>
        <w:spacing w:line="460" w:lineRule="exact"/>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合同订立份数：</w:t>
      </w:r>
      <w:r>
        <w:rPr>
          <w:rFonts w:hint="eastAsia" w:ascii="宋体" w:hAnsi="宋体" w:eastAsia="宋体" w:cs="宋体"/>
          <w:color w:val="auto"/>
          <w:szCs w:val="21"/>
          <w:highlight w:val="none"/>
          <w:u w:val="single"/>
        </w:rPr>
        <w:t>本合同一式</w:t>
      </w:r>
      <w:r>
        <w:rPr>
          <w:rFonts w:hint="eastAsia" w:ascii="宋体" w:hAnsi="宋体" w:eastAsia="宋体" w:cs="宋体"/>
          <w:color w:val="auto"/>
          <w:szCs w:val="21"/>
          <w:highlight w:val="none"/>
          <w:u w:val="single"/>
          <w:lang w:val="en-US" w:eastAsia="zh-CN"/>
        </w:rPr>
        <w:t>陆</w:t>
      </w:r>
      <w:r>
        <w:rPr>
          <w:rFonts w:hint="eastAsia" w:ascii="宋体" w:hAnsi="宋体" w:eastAsia="宋体" w:cs="宋体"/>
          <w:color w:val="auto"/>
          <w:szCs w:val="21"/>
          <w:highlight w:val="none"/>
          <w:u w:val="single"/>
        </w:rPr>
        <w:t>份，双方各执</w:t>
      </w:r>
      <w:r>
        <w:rPr>
          <w:rFonts w:hint="eastAsia" w:ascii="宋体" w:hAnsi="宋体" w:eastAsia="宋体" w:cs="宋体"/>
          <w:color w:val="auto"/>
          <w:szCs w:val="21"/>
          <w:highlight w:val="none"/>
          <w:u w:val="single"/>
          <w:lang w:val="en-US" w:eastAsia="zh-CN"/>
        </w:rPr>
        <w:t>叁</w:t>
      </w:r>
      <w:r>
        <w:rPr>
          <w:rFonts w:hint="eastAsia" w:ascii="宋体" w:hAnsi="宋体" w:eastAsia="宋体" w:cs="宋体"/>
          <w:color w:val="auto"/>
          <w:szCs w:val="21"/>
          <w:highlight w:val="none"/>
          <w:u w:val="single"/>
        </w:rPr>
        <w:t>份。</w:t>
      </w:r>
    </w:p>
    <w:p w14:paraId="12920B03">
      <w:pPr>
        <w:spacing w:line="460" w:lineRule="exact"/>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自政府采购合同签订之日起2个工作日内，将政府采购合同在指定的媒体上公告。</w:t>
      </w:r>
    </w:p>
    <w:p w14:paraId="1799273D">
      <w:pPr>
        <w:spacing w:line="460" w:lineRule="exact"/>
        <w:ind w:left="105" w:right="105" w:firstLine="480"/>
        <w:rPr>
          <w:rFonts w:hint="eastAsia" w:ascii="宋体" w:hAnsi="宋体" w:eastAsia="宋体" w:cs="宋体"/>
          <w:color w:val="auto"/>
          <w:szCs w:val="21"/>
          <w:highlight w:val="none"/>
        </w:rPr>
      </w:pPr>
    </w:p>
    <w:p w14:paraId="24E0C890">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发包人：（公章）</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承包人：（公章）</w:t>
      </w:r>
    </w:p>
    <w:p w14:paraId="3A849939">
      <w:pPr>
        <w:spacing w:line="460" w:lineRule="exact"/>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法定代表人（签字）：                 法定代表人（签字）： </w:t>
      </w:r>
    </w:p>
    <w:p w14:paraId="3E99D01C">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委托代理人（签字）：                 委托代理人（签字）：</w:t>
      </w:r>
    </w:p>
    <w:p w14:paraId="3C3E2B24">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组织机构代码：                       组织机构代码：  </w:t>
      </w:r>
    </w:p>
    <w:p w14:paraId="287D8EF6">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地  址：        </w:t>
      </w:r>
    </w:p>
    <w:p w14:paraId="400B5366">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                           邮政编码：      </w:t>
      </w:r>
    </w:p>
    <w:p w14:paraId="465BF0F7">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电  话： </w:t>
      </w:r>
    </w:p>
    <w:p w14:paraId="2CF1F68B">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                             传  真： </w:t>
      </w:r>
    </w:p>
    <w:p w14:paraId="1BE2B09F">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                           电子信箱： </w:t>
      </w:r>
    </w:p>
    <w:p w14:paraId="59848696">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                           开户银行： </w:t>
      </w:r>
    </w:p>
    <w:p w14:paraId="67AB54FF">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                               账号：  </w:t>
      </w:r>
    </w:p>
    <w:p w14:paraId="59269494">
      <w:pPr>
        <w:spacing w:line="460" w:lineRule="exact"/>
        <w:ind w:left="105" w:right="105" w:firstLine="480"/>
        <w:rPr>
          <w:rFonts w:hint="eastAsia" w:ascii="宋体" w:hAnsi="宋体" w:eastAsia="宋体" w:cs="宋体"/>
          <w:color w:val="auto"/>
          <w:szCs w:val="21"/>
          <w:highlight w:val="none"/>
        </w:rPr>
      </w:pPr>
    </w:p>
    <w:p w14:paraId="601B3971">
      <w:pPr>
        <w:spacing w:line="460" w:lineRule="exact"/>
        <w:ind w:left="105" w:right="105" w:firstLine="480"/>
        <w:rPr>
          <w:rFonts w:hint="eastAsia" w:ascii="宋体" w:hAnsi="宋体" w:eastAsia="宋体" w:cs="宋体"/>
          <w:color w:val="auto"/>
          <w:szCs w:val="21"/>
          <w:highlight w:val="none"/>
        </w:rPr>
      </w:pPr>
    </w:p>
    <w:p w14:paraId="240B269B">
      <w:pPr>
        <w:spacing w:line="460" w:lineRule="exact"/>
        <w:ind w:left="105" w:right="105" w:firstLine="480"/>
        <w:rPr>
          <w:rFonts w:hint="eastAsia" w:ascii="宋体" w:hAnsi="宋体" w:eastAsia="宋体" w:cs="宋体"/>
          <w:color w:val="auto"/>
          <w:szCs w:val="21"/>
          <w:highlight w:val="none"/>
        </w:rPr>
      </w:pPr>
    </w:p>
    <w:p w14:paraId="285537A5">
      <w:pPr>
        <w:spacing w:line="460" w:lineRule="exact"/>
        <w:ind w:left="105" w:right="105" w:firstLine="480"/>
        <w:rPr>
          <w:rFonts w:hint="eastAsia" w:ascii="宋体" w:hAnsi="宋体" w:eastAsia="宋体" w:cs="宋体"/>
          <w:color w:val="auto"/>
          <w:szCs w:val="21"/>
          <w:highlight w:val="none"/>
        </w:rPr>
      </w:pPr>
    </w:p>
    <w:p w14:paraId="7EDE9BC2">
      <w:pPr>
        <w:pStyle w:val="60"/>
        <w:rPr>
          <w:rFonts w:hint="eastAsia" w:ascii="宋体" w:hAnsi="宋体" w:eastAsia="宋体" w:cs="宋体"/>
          <w:color w:val="auto"/>
          <w:szCs w:val="21"/>
          <w:highlight w:val="none"/>
        </w:rPr>
      </w:pPr>
    </w:p>
    <w:p w14:paraId="2C11D079">
      <w:pPr>
        <w:rPr>
          <w:rFonts w:hint="eastAsia" w:ascii="宋体" w:hAnsi="宋体" w:eastAsia="宋体" w:cs="宋体"/>
          <w:color w:val="auto"/>
          <w:highlight w:val="none"/>
        </w:rPr>
      </w:pPr>
    </w:p>
    <w:p w14:paraId="43DB41F3">
      <w:pPr>
        <w:rPr>
          <w:rFonts w:hint="eastAsia" w:ascii="宋体" w:hAnsi="宋体" w:eastAsia="宋体" w:cs="宋体"/>
          <w:color w:val="auto"/>
          <w:szCs w:val="21"/>
          <w:highlight w:val="none"/>
        </w:rPr>
      </w:pPr>
      <w:bookmarkStart w:id="11" w:name="_Toc524613152"/>
      <w:bookmarkStart w:id="12" w:name="_Toc530387520"/>
      <w:bookmarkStart w:id="13" w:name="_Toc6661901"/>
      <w:r>
        <w:rPr>
          <w:rFonts w:hint="eastAsia" w:ascii="宋体" w:hAnsi="宋体" w:eastAsia="宋体" w:cs="宋体"/>
          <w:color w:val="auto"/>
          <w:szCs w:val="21"/>
          <w:highlight w:val="none"/>
        </w:rPr>
        <w:br w:type="page"/>
      </w:r>
    </w:p>
    <w:p w14:paraId="0CB9CCE1">
      <w:pPr>
        <w:pStyle w:val="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第二部分 通用合同条款</w:t>
      </w:r>
      <w:bookmarkEnd w:id="11"/>
      <w:bookmarkEnd w:id="12"/>
      <w:bookmarkEnd w:id="13"/>
    </w:p>
    <w:p w14:paraId="706A1D2F">
      <w:pPr>
        <w:spacing w:line="460" w:lineRule="exact"/>
        <w:ind w:firstLine="480"/>
        <w:rPr>
          <w:rFonts w:hint="eastAsia" w:ascii="宋体" w:hAnsi="宋体" w:eastAsia="宋体" w:cs="宋体"/>
          <w:color w:val="auto"/>
          <w:szCs w:val="21"/>
          <w:highlight w:val="none"/>
        </w:rPr>
      </w:pPr>
    </w:p>
    <w:p w14:paraId="1FAC0D28">
      <w:pPr>
        <w:spacing w:line="460" w:lineRule="exact"/>
        <w:ind w:firstLine="48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通用合同条款执行《建设工程施工合同（示范文本）》（GF-2017-0201）</w:t>
      </w:r>
    </w:p>
    <w:p w14:paraId="1D4165C4">
      <w:pPr>
        <w:spacing w:line="460" w:lineRule="exact"/>
        <w:ind w:firstLine="480"/>
        <w:rPr>
          <w:rFonts w:hint="eastAsia" w:ascii="宋体" w:hAnsi="宋体" w:eastAsia="宋体" w:cs="宋体"/>
          <w:color w:val="auto"/>
          <w:szCs w:val="21"/>
          <w:highlight w:val="none"/>
        </w:rPr>
      </w:pPr>
    </w:p>
    <w:p w14:paraId="742C3DC8">
      <w:pPr>
        <w:pStyle w:val="5"/>
        <w:jc w:val="center"/>
        <w:rPr>
          <w:rFonts w:hint="eastAsia" w:ascii="宋体" w:hAnsi="宋体" w:eastAsia="宋体" w:cs="宋体"/>
          <w:color w:val="auto"/>
          <w:szCs w:val="21"/>
          <w:highlight w:val="none"/>
        </w:rPr>
      </w:pPr>
      <w:bookmarkStart w:id="14" w:name="_Toc6661902"/>
      <w:bookmarkStart w:id="15" w:name="_Toc530387521"/>
      <w:bookmarkStart w:id="16" w:name="_Toc524613153"/>
    </w:p>
    <w:p w14:paraId="0291007A">
      <w:pPr>
        <w:pStyle w:val="5"/>
        <w:jc w:val="center"/>
        <w:rPr>
          <w:rFonts w:hint="eastAsia" w:ascii="宋体" w:hAnsi="宋体" w:eastAsia="宋体" w:cs="宋体"/>
          <w:color w:val="auto"/>
          <w:szCs w:val="21"/>
          <w:highlight w:val="none"/>
        </w:rPr>
      </w:pPr>
    </w:p>
    <w:p w14:paraId="551021A9">
      <w:pPr>
        <w:pStyle w:val="5"/>
        <w:jc w:val="center"/>
        <w:rPr>
          <w:rFonts w:hint="eastAsia" w:ascii="宋体" w:hAnsi="宋体" w:eastAsia="宋体" w:cs="宋体"/>
          <w:color w:val="auto"/>
          <w:szCs w:val="21"/>
          <w:highlight w:val="none"/>
        </w:rPr>
      </w:pPr>
    </w:p>
    <w:p w14:paraId="1AE241B7">
      <w:pPr>
        <w:pStyle w:val="5"/>
        <w:jc w:val="center"/>
        <w:rPr>
          <w:rFonts w:hint="eastAsia" w:ascii="宋体" w:hAnsi="宋体" w:eastAsia="宋体" w:cs="宋体"/>
          <w:color w:val="auto"/>
          <w:szCs w:val="21"/>
          <w:highlight w:val="none"/>
        </w:rPr>
      </w:pPr>
    </w:p>
    <w:p w14:paraId="67547169">
      <w:pPr>
        <w:pStyle w:val="5"/>
        <w:jc w:val="center"/>
        <w:rPr>
          <w:rFonts w:hint="eastAsia" w:ascii="宋体" w:hAnsi="宋体" w:eastAsia="宋体" w:cs="宋体"/>
          <w:color w:val="auto"/>
          <w:szCs w:val="21"/>
          <w:highlight w:val="none"/>
        </w:rPr>
      </w:pPr>
    </w:p>
    <w:p w14:paraId="481D6483">
      <w:pPr>
        <w:pStyle w:val="5"/>
        <w:jc w:val="center"/>
        <w:rPr>
          <w:rFonts w:hint="eastAsia" w:ascii="宋体" w:hAnsi="宋体" w:eastAsia="宋体" w:cs="宋体"/>
          <w:color w:val="auto"/>
          <w:szCs w:val="21"/>
          <w:highlight w:val="none"/>
        </w:rPr>
      </w:pPr>
    </w:p>
    <w:p w14:paraId="133FCA0A">
      <w:pPr>
        <w:pStyle w:val="5"/>
        <w:jc w:val="center"/>
        <w:rPr>
          <w:rFonts w:hint="eastAsia" w:ascii="宋体" w:hAnsi="宋体" w:eastAsia="宋体" w:cs="宋体"/>
          <w:color w:val="auto"/>
          <w:szCs w:val="21"/>
          <w:highlight w:val="none"/>
        </w:rPr>
      </w:pPr>
    </w:p>
    <w:p w14:paraId="1D2F288A">
      <w:pPr>
        <w:pStyle w:val="5"/>
        <w:jc w:val="center"/>
        <w:rPr>
          <w:rFonts w:hint="eastAsia" w:ascii="宋体" w:hAnsi="宋体" w:eastAsia="宋体" w:cs="宋体"/>
          <w:color w:val="auto"/>
          <w:szCs w:val="21"/>
          <w:highlight w:val="none"/>
        </w:rPr>
      </w:pPr>
    </w:p>
    <w:p w14:paraId="04EE0D67">
      <w:pPr>
        <w:pStyle w:val="5"/>
        <w:jc w:val="center"/>
        <w:rPr>
          <w:rFonts w:hint="eastAsia" w:ascii="宋体" w:hAnsi="宋体" w:eastAsia="宋体" w:cs="宋体"/>
          <w:color w:val="auto"/>
          <w:szCs w:val="21"/>
          <w:highlight w:val="none"/>
        </w:rPr>
      </w:pPr>
    </w:p>
    <w:p w14:paraId="4526E214">
      <w:pPr>
        <w:pStyle w:val="5"/>
        <w:jc w:val="center"/>
        <w:rPr>
          <w:rFonts w:hint="eastAsia" w:ascii="宋体" w:hAnsi="宋体" w:eastAsia="宋体" w:cs="宋体"/>
          <w:color w:val="auto"/>
          <w:szCs w:val="21"/>
          <w:highlight w:val="none"/>
        </w:rPr>
      </w:pPr>
    </w:p>
    <w:p w14:paraId="1E7F41B8">
      <w:pPr>
        <w:pStyle w:val="5"/>
        <w:jc w:val="center"/>
        <w:rPr>
          <w:rFonts w:hint="eastAsia" w:ascii="宋体" w:hAnsi="宋体" w:eastAsia="宋体" w:cs="宋体"/>
          <w:color w:val="auto"/>
          <w:szCs w:val="21"/>
          <w:highlight w:val="none"/>
        </w:rPr>
      </w:pPr>
    </w:p>
    <w:p w14:paraId="4F43C328">
      <w:pPr>
        <w:pStyle w:val="5"/>
        <w:jc w:val="center"/>
        <w:rPr>
          <w:rFonts w:hint="eastAsia" w:ascii="宋体" w:hAnsi="宋体" w:eastAsia="宋体" w:cs="宋体"/>
          <w:color w:val="auto"/>
          <w:szCs w:val="21"/>
          <w:highlight w:val="none"/>
        </w:rPr>
      </w:pPr>
    </w:p>
    <w:p w14:paraId="62A836DB">
      <w:pPr>
        <w:pStyle w:val="5"/>
        <w:jc w:val="center"/>
        <w:rPr>
          <w:rFonts w:hint="eastAsia" w:ascii="宋体" w:hAnsi="宋体" w:eastAsia="宋体" w:cs="宋体"/>
          <w:color w:val="auto"/>
          <w:szCs w:val="21"/>
          <w:highlight w:val="none"/>
        </w:rPr>
      </w:pPr>
    </w:p>
    <w:p w14:paraId="37DE995B">
      <w:pPr>
        <w:rPr>
          <w:rFonts w:hint="eastAsia" w:ascii="宋体" w:hAnsi="宋体" w:eastAsia="宋体" w:cs="宋体"/>
          <w:color w:val="auto"/>
          <w:highlight w:val="none"/>
        </w:rPr>
      </w:pPr>
    </w:p>
    <w:p w14:paraId="4FE2A0F9">
      <w:pPr>
        <w:pStyle w:val="5"/>
        <w:jc w:val="center"/>
        <w:rPr>
          <w:rFonts w:hint="eastAsia" w:ascii="宋体" w:hAnsi="宋体" w:eastAsia="宋体" w:cs="宋体"/>
          <w:color w:val="auto"/>
          <w:szCs w:val="21"/>
          <w:highlight w:val="none"/>
        </w:rPr>
      </w:pPr>
    </w:p>
    <w:p w14:paraId="3222C23D">
      <w:pPr>
        <w:pStyle w:val="5"/>
        <w:jc w:val="center"/>
        <w:rPr>
          <w:rFonts w:hint="eastAsia" w:ascii="宋体" w:hAnsi="宋体" w:eastAsia="宋体" w:cs="宋体"/>
          <w:color w:val="auto"/>
          <w:szCs w:val="21"/>
          <w:highlight w:val="none"/>
        </w:rPr>
      </w:pPr>
    </w:p>
    <w:p w14:paraId="1756698E">
      <w:pPr>
        <w:pStyle w:val="5"/>
        <w:jc w:val="center"/>
        <w:rPr>
          <w:rFonts w:hint="eastAsia" w:ascii="宋体" w:hAnsi="宋体" w:eastAsia="宋体" w:cs="宋体"/>
          <w:color w:val="auto"/>
          <w:szCs w:val="21"/>
          <w:highlight w:val="none"/>
        </w:rPr>
      </w:pPr>
    </w:p>
    <w:p w14:paraId="7100BF27">
      <w:pPr>
        <w:pStyle w:val="5"/>
        <w:jc w:val="center"/>
        <w:rPr>
          <w:rFonts w:hint="eastAsia" w:ascii="宋体" w:hAnsi="宋体" w:eastAsia="宋体" w:cs="宋体"/>
          <w:color w:val="auto"/>
          <w:szCs w:val="21"/>
          <w:highlight w:val="none"/>
        </w:rPr>
      </w:pPr>
    </w:p>
    <w:p w14:paraId="39F637FA">
      <w:pPr>
        <w:pStyle w:val="5"/>
        <w:jc w:val="center"/>
        <w:rPr>
          <w:rFonts w:hint="eastAsia" w:ascii="宋体" w:hAnsi="宋体" w:eastAsia="宋体" w:cs="宋体"/>
          <w:color w:val="auto"/>
          <w:szCs w:val="21"/>
          <w:highlight w:val="none"/>
        </w:rPr>
      </w:pPr>
    </w:p>
    <w:p w14:paraId="0E31C9B5">
      <w:pPr>
        <w:pStyle w:val="5"/>
        <w:jc w:val="center"/>
        <w:rPr>
          <w:rFonts w:hint="eastAsia" w:ascii="宋体" w:hAnsi="宋体" w:eastAsia="宋体" w:cs="宋体"/>
          <w:color w:val="auto"/>
          <w:szCs w:val="21"/>
          <w:highlight w:val="none"/>
        </w:rPr>
      </w:pPr>
    </w:p>
    <w:p w14:paraId="060FA462">
      <w:pPr>
        <w:pStyle w:val="5"/>
        <w:jc w:val="center"/>
        <w:rPr>
          <w:rFonts w:hint="eastAsia" w:ascii="宋体" w:hAnsi="宋体" w:eastAsia="宋体" w:cs="宋体"/>
          <w:color w:val="auto"/>
          <w:szCs w:val="21"/>
          <w:highlight w:val="none"/>
        </w:rPr>
      </w:pPr>
    </w:p>
    <w:p w14:paraId="479AA30D">
      <w:pPr>
        <w:pStyle w:val="5"/>
        <w:jc w:val="center"/>
        <w:rPr>
          <w:rFonts w:hint="eastAsia" w:ascii="宋体" w:hAnsi="宋体" w:eastAsia="宋体" w:cs="宋体"/>
          <w:color w:val="auto"/>
          <w:szCs w:val="21"/>
          <w:highlight w:val="none"/>
        </w:rPr>
      </w:pPr>
    </w:p>
    <w:p w14:paraId="69E5343E">
      <w:pPr>
        <w:pStyle w:val="5"/>
        <w:jc w:val="center"/>
        <w:rPr>
          <w:rFonts w:hint="eastAsia" w:ascii="宋体" w:hAnsi="宋体" w:eastAsia="宋体" w:cs="宋体"/>
          <w:color w:val="auto"/>
          <w:szCs w:val="21"/>
          <w:highlight w:val="none"/>
        </w:rPr>
      </w:pPr>
    </w:p>
    <w:p w14:paraId="5BCF11D3">
      <w:pPr>
        <w:pStyle w:val="5"/>
        <w:jc w:val="center"/>
        <w:rPr>
          <w:rFonts w:hint="eastAsia" w:ascii="宋体" w:hAnsi="宋体" w:eastAsia="宋体" w:cs="宋体"/>
          <w:color w:val="auto"/>
          <w:szCs w:val="21"/>
          <w:highlight w:val="none"/>
        </w:rPr>
      </w:pPr>
    </w:p>
    <w:p w14:paraId="288AED03">
      <w:pPr>
        <w:pStyle w:val="5"/>
        <w:jc w:val="center"/>
        <w:rPr>
          <w:rFonts w:hint="eastAsia" w:ascii="宋体" w:hAnsi="宋体" w:eastAsia="宋体" w:cs="宋体"/>
          <w:color w:val="auto"/>
          <w:szCs w:val="21"/>
          <w:highlight w:val="none"/>
        </w:rPr>
      </w:pPr>
    </w:p>
    <w:p w14:paraId="6CD56A25">
      <w:pPr>
        <w:rPr>
          <w:rFonts w:hint="eastAsia" w:ascii="宋体" w:hAnsi="宋体" w:eastAsia="宋体" w:cs="宋体"/>
          <w:color w:val="auto"/>
          <w:highlight w:val="none"/>
        </w:rPr>
      </w:pPr>
    </w:p>
    <w:p w14:paraId="23EC7AF2">
      <w:pPr>
        <w:pStyle w:val="5"/>
        <w:jc w:val="both"/>
        <w:rPr>
          <w:rFonts w:hint="eastAsia" w:ascii="宋体" w:hAnsi="宋体" w:eastAsia="宋体" w:cs="宋体"/>
          <w:color w:val="auto"/>
          <w:szCs w:val="21"/>
          <w:highlight w:val="none"/>
        </w:rPr>
      </w:pPr>
    </w:p>
    <w:p w14:paraId="2D85F82A">
      <w:pPr>
        <w:rPr>
          <w:rFonts w:hint="eastAsia" w:ascii="宋体" w:hAnsi="宋体" w:eastAsia="宋体" w:cs="宋体"/>
          <w:color w:val="auto"/>
          <w:szCs w:val="21"/>
          <w:highlight w:val="none"/>
        </w:rPr>
      </w:pPr>
    </w:p>
    <w:p w14:paraId="15F2F567">
      <w:pPr>
        <w:pStyle w:val="60"/>
        <w:rPr>
          <w:rFonts w:hint="eastAsia" w:ascii="宋体" w:hAnsi="宋体" w:eastAsia="宋体" w:cs="宋体"/>
          <w:color w:val="auto"/>
          <w:highlight w:val="none"/>
        </w:rPr>
      </w:pPr>
    </w:p>
    <w:p w14:paraId="35B95791">
      <w:pPr>
        <w:pStyle w:val="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第三部分 专用合同条款</w:t>
      </w:r>
      <w:bookmarkEnd w:id="14"/>
      <w:bookmarkEnd w:id="15"/>
      <w:bookmarkEnd w:id="16"/>
    </w:p>
    <w:p w14:paraId="518142E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1.一般约定</w:t>
      </w:r>
    </w:p>
    <w:p w14:paraId="594FA54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1.1词语定义</w:t>
      </w:r>
    </w:p>
    <w:p w14:paraId="3419814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1.1.1合同</w:t>
      </w:r>
    </w:p>
    <w:p w14:paraId="2B5DA3C8">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 合同：合同协议书、中标通知书（如果有）、投标函、专用合同条款及其附件、通用合同条款、技术标准和要求、图纸、已标价工程量清单或预算书以及其他合同文件。</w:t>
      </w:r>
    </w:p>
    <w:p w14:paraId="52DA7B71">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1.1.1.10其他合同文件包括：</w:t>
      </w:r>
      <w:r>
        <w:rPr>
          <w:rFonts w:hint="eastAsia" w:ascii="宋体" w:hAnsi="宋体" w:eastAsia="宋体" w:cs="宋体"/>
          <w:color w:val="auto"/>
          <w:szCs w:val="21"/>
          <w:highlight w:val="none"/>
          <w:u w:val="single"/>
        </w:rPr>
        <w:t>（1）招标文件（含澄清、答疑等补充文件）；（2）标准、规范及有关技术资料；（3）发包人、承包人有关工程的洽商、变更等书面协议或文件视为本合同的组成部分。</w:t>
      </w:r>
    </w:p>
    <w:p w14:paraId="3090D54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1.1.2合同当事人及其他相关方</w:t>
      </w:r>
    </w:p>
    <w:p w14:paraId="27C9138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1.1.2.4监理人：</w:t>
      </w:r>
    </w:p>
    <w:p w14:paraId="7B400B6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C2B456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80DB0B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7F2E3F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566DA6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190DF3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1.1.2.5设计人：</w:t>
      </w:r>
    </w:p>
    <w:p w14:paraId="3903878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38CCF0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9697E2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CDB882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06472E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EABC07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1.1.3工程和设备</w:t>
      </w:r>
    </w:p>
    <w:p w14:paraId="406785B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1.1.3.7作为施工现场组成部分的其他场所包括：</w:t>
      </w:r>
      <w:r>
        <w:rPr>
          <w:rFonts w:hint="eastAsia" w:ascii="宋体" w:hAnsi="宋体" w:eastAsia="宋体" w:cs="宋体"/>
          <w:color w:val="auto"/>
          <w:szCs w:val="21"/>
          <w:highlight w:val="none"/>
          <w:u w:val="single"/>
        </w:rPr>
        <w:t xml:space="preserve">  临时设施及永久占地  </w:t>
      </w:r>
    </w:p>
    <w:p w14:paraId="35155DC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1.1.3.9永久占地包括：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5DE6D09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1.1.3.10临时占地包括：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039764C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1.3法律</w:t>
      </w:r>
    </w:p>
    <w:p w14:paraId="27A42E3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适用于合同的其他规范性文件：</w:t>
      </w:r>
    </w:p>
    <w:p w14:paraId="7012568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除中华人民共和国法律、行政法规、部门规章，以及工程所在地的</w:t>
      </w:r>
      <w:r>
        <w:rPr>
          <w:rFonts w:hint="eastAsia" w:cs="宋体"/>
          <w:color w:val="auto"/>
          <w:szCs w:val="21"/>
          <w:highlight w:val="none"/>
          <w:u w:val="single"/>
          <w:lang w:eastAsia="zh-CN"/>
        </w:rPr>
        <w:t>地方性法规</w:t>
      </w:r>
      <w:r>
        <w:rPr>
          <w:rFonts w:hint="eastAsia" w:ascii="宋体" w:hAnsi="宋体" w:eastAsia="宋体" w:cs="宋体"/>
          <w:color w:val="auto"/>
          <w:szCs w:val="21"/>
          <w:highlight w:val="none"/>
          <w:u w:val="single"/>
        </w:rPr>
        <w:t xml:space="preserve">、自治条例、单行条例和地方政府规章外，行业规定也包含在内。 </w:t>
      </w:r>
    </w:p>
    <w:p w14:paraId="342A69B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1.4标准和规范</w:t>
      </w:r>
    </w:p>
    <w:p w14:paraId="2181CE6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1.4.1适用于工程的标准规范包括：</w:t>
      </w:r>
      <w:r>
        <w:rPr>
          <w:rFonts w:hint="eastAsia" w:ascii="宋体" w:hAnsi="宋体" w:eastAsia="宋体" w:cs="宋体"/>
          <w:color w:val="auto"/>
          <w:szCs w:val="21"/>
          <w:highlight w:val="none"/>
          <w:u w:val="single"/>
        </w:rPr>
        <w:t xml:space="preserve"> 详见设计文件 </w:t>
      </w:r>
    </w:p>
    <w:p w14:paraId="6DB77C1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1.4.2发包人提供国外标准、规范的名称：</w:t>
      </w:r>
      <w:r>
        <w:rPr>
          <w:rFonts w:hint="eastAsia" w:ascii="宋体" w:hAnsi="宋体" w:eastAsia="宋体" w:cs="宋体"/>
          <w:color w:val="auto"/>
          <w:szCs w:val="21"/>
          <w:highlight w:val="none"/>
          <w:u w:val="single"/>
        </w:rPr>
        <w:t>不提供</w:t>
      </w:r>
    </w:p>
    <w:p w14:paraId="1E01CF5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发包人提供国外标准、规范的份数：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D1C7D2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发包人提供国外标准、规范的名称：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DE9FE3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1.4.3发包人对工程的技术标准和功能要求的特殊要求：</w:t>
      </w:r>
      <w:r>
        <w:rPr>
          <w:rFonts w:hint="eastAsia" w:ascii="宋体" w:hAnsi="宋体" w:eastAsia="宋体" w:cs="宋体"/>
          <w:color w:val="auto"/>
          <w:szCs w:val="21"/>
          <w:highlight w:val="none"/>
          <w:u w:val="single"/>
        </w:rPr>
        <w:t>/；</w:t>
      </w:r>
    </w:p>
    <w:p w14:paraId="63BC9FC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1.5合同文件的优先顺序</w:t>
      </w:r>
    </w:p>
    <w:p w14:paraId="620D1D69">
      <w:pPr>
        <w:spacing w:line="360" w:lineRule="auto"/>
        <w:ind w:firstLine="468"/>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合同文件组成及优先顺序为：</w:t>
      </w:r>
    </w:p>
    <w:p w14:paraId="4364D5D3">
      <w:pPr>
        <w:numPr>
          <w:ilvl w:val="0"/>
          <w:numId w:val="0"/>
        </w:numPr>
        <w:spacing w:line="360" w:lineRule="auto"/>
        <w:ind w:left="440" w:leftChars="200" w:firstLine="13" w:firstLineChars="6"/>
        <w:rPr>
          <w:rFonts w:hint="eastAsia"/>
          <w:color w:val="auto"/>
          <w:highlight w:val="none"/>
          <w:lang w:val="en-US" w:eastAsia="zh-CN"/>
        </w:rPr>
      </w:pPr>
      <w:r>
        <w:rPr>
          <w:rFonts w:hint="default" w:ascii="宋体" w:hAnsi="宋体" w:eastAsia="宋体" w:cs="宋体"/>
          <w:color w:val="auto"/>
          <w:sz w:val="22"/>
          <w:szCs w:val="22"/>
          <w:highlight w:val="none"/>
          <w:lang w:val="en-US" w:eastAsia="zh-CN" w:bidi="ar-SA"/>
        </w:rPr>
        <w:t>(1)</w:t>
      </w:r>
      <w:r>
        <w:rPr>
          <w:rFonts w:hint="eastAsia" w:cs="宋体"/>
          <w:color w:val="auto"/>
          <w:szCs w:val="21"/>
          <w:highlight w:val="none"/>
          <w:lang w:val="en-US" w:eastAsia="zh-CN"/>
        </w:rPr>
        <w:t>合同协议书；</w:t>
      </w:r>
    </w:p>
    <w:p w14:paraId="518BBA87">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(2)</w:t>
      </w:r>
      <w:r>
        <w:rPr>
          <w:rFonts w:hint="eastAsia" w:ascii="宋体" w:hAnsi="宋体" w:eastAsia="宋体" w:cs="宋体"/>
          <w:color w:val="auto"/>
          <w:szCs w:val="21"/>
          <w:highlight w:val="none"/>
        </w:rPr>
        <w:t>中标通知书（如果有）；</w:t>
      </w:r>
    </w:p>
    <w:p w14:paraId="3BF96B46">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(3)</w:t>
      </w:r>
      <w:r>
        <w:rPr>
          <w:rFonts w:hint="eastAsia" w:ascii="宋体" w:hAnsi="宋体" w:eastAsia="宋体" w:cs="宋体"/>
          <w:color w:val="auto"/>
          <w:szCs w:val="21"/>
          <w:highlight w:val="none"/>
        </w:rPr>
        <w:t>招标文件；</w:t>
      </w:r>
    </w:p>
    <w:p w14:paraId="24BA70E5">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(4)</w:t>
      </w:r>
      <w:r>
        <w:rPr>
          <w:rFonts w:hint="eastAsia" w:ascii="宋体" w:hAnsi="宋体" w:eastAsia="宋体" w:cs="宋体"/>
          <w:color w:val="auto"/>
          <w:szCs w:val="21"/>
          <w:highlight w:val="none"/>
        </w:rPr>
        <w:t>投标函；</w:t>
      </w:r>
    </w:p>
    <w:p w14:paraId="51D2935C">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(5)</w:t>
      </w:r>
      <w:r>
        <w:rPr>
          <w:rFonts w:hint="eastAsia" w:ascii="宋体" w:hAnsi="宋体" w:eastAsia="宋体" w:cs="宋体"/>
          <w:color w:val="auto"/>
          <w:szCs w:val="21"/>
          <w:highlight w:val="none"/>
        </w:rPr>
        <w:t>专用合同条款及其附件；</w:t>
      </w:r>
    </w:p>
    <w:p w14:paraId="35A23DCF">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(6)</w:t>
      </w:r>
      <w:r>
        <w:rPr>
          <w:rFonts w:hint="eastAsia" w:ascii="宋体" w:hAnsi="宋体" w:eastAsia="宋体" w:cs="宋体"/>
          <w:color w:val="auto"/>
          <w:szCs w:val="21"/>
          <w:highlight w:val="none"/>
        </w:rPr>
        <w:t>通用合同条款；</w:t>
      </w:r>
    </w:p>
    <w:p w14:paraId="2B586556">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(7)</w:t>
      </w:r>
      <w:r>
        <w:rPr>
          <w:rFonts w:hint="eastAsia" w:ascii="宋体" w:hAnsi="宋体" w:eastAsia="宋体" w:cs="宋体"/>
          <w:color w:val="auto"/>
          <w:szCs w:val="21"/>
          <w:highlight w:val="none"/>
        </w:rPr>
        <w:t>技术标准和要求；</w:t>
      </w:r>
    </w:p>
    <w:p w14:paraId="524587CA">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(8)</w:t>
      </w:r>
      <w:r>
        <w:rPr>
          <w:rFonts w:hint="eastAsia" w:ascii="宋体" w:hAnsi="宋体" w:eastAsia="宋体" w:cs="宋体"/>
          <w:color w:val="auto"/>
          <w:szCs w:val="21"/>
          <w:highlight w:val="none"/>
        </w:rPr>
        <w:t>图纸；</w:t>
      </w:r>
    </w:p>
    <w:p w14:paraId="468F03C2">
      <w:pPr>
        <w:numPr>
          <w:ilvl w:val="0"/>
          <w:numId w:val="0"/>
        </w:numPr>
        <w:spacing w:line="360" w:lineRule="auto"/>
        <w:ind w:left="440" w:leftChars="200" w:firstLine="13" w:firstLineChars="6"/>
        <w:rPr>
          <w:rFonts w:hint="eastAsia"/>
          <w:color w:val="auto"/>
          <w:highlight w:val="none"/>
        </w:rPr>
      </w:pPr>
      <w:r>
        <w:rPr>
          <w:rFonts w:hint="default" w:ascii="宋体" w:hAnsi="宋体" w:eastAsia="宋体" w:cs="宋体"/>
          <w:color w:val="auto"/>
          <w:sz w:val="22"/>
          <w:szCs w:val="22"/>
          <w:highlight w:val="none"/>
          <w:lang w:val="en-US" w:eastAsia="en-US" w:bidi="ar-SA"/>
        </w:rPr>
        <w:t>(9)</w:t>
      </w:r>
      <w:r>
        <w:rPr>
          <w:rFonts w:hint="eastAsia" w:ascii="宋体" w:hAnsi="宋体" w:eastAsia="宋体" w:cs="宋体"/>
          <w:color w:val="auto"/>
          <w:szCs w:val="21"/>
          <w:highlight w:val="none"/>
        </w:rPr>
        <w:t>已标价工程量清单或预算书；</w:t>
      </w:r>
    </w:p>
    <w:p w14:paraId="653AD629">
      <w:pPr>
        <w:numPr>
          <w:ilvl w:val="0"/>
          <w:numId w:val="0"/>
        </w:numPr>
        <w:spacing w:line="360" w:lineRule="auto"/>
        <w:ind w:firstLine="440" w:firstLineChars="200"/>
        <w:rPr>
          <w:rFonts w:hint="eastAsia" w:ascii="宋体" w:hAnsi="宋体" w:eastAsia="宋体" w:cs="宋体"/>
          <w:color w:val="auto"/>
          <w:szCs w:val="21"/>
          <w:highlight w:val="none"/>
        </w:rPr>
      </w:pPr>
      <w:r>
        <w:rPr>
          <w:rFonts w:hint="eastAsia" w:cs="宋体"/>
          <w:color w:val="auto"/>
          <w:szCs w:val="21"/>
          <w:highlight w:val="none"/>
          <w:lang w:val="en-US" w:eastAsia="zh-CN"/>
        </w:rPr>
        <w:t>(10)</w:t>
      </w:r>
      <w:r>
        <w:rPr>
          <w:rFonts w:hint="eastAsia" w:ascii="宋体" w:hAnsi="宋体" w:eastAsia="宋体" w:cs="宋体"/>
          <w:color w:val="auto"/>
          <w:szCs w:val="21"/>
          <w:highlight w:val="none"/>
        </w:rPr>
        <w:t xml:space="preserve">其他合同文件。 </w:t>
      </w:r>
    </w:p>
    <w:p w14:paraId="1EA7566F">
      <w:pPr>
        <w:spacing w:line="360" w:lineRule="auto"/>
        <w:ind w:firstLine="468"/>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上述各项合同文件包括合同当事人就该项合同文件所作出的补充和修改，属于同一类内容的文件，应以最新签署的为准。</w:t>
      </w:r>
    </w:p>
    <w:p w14:paraId="3B3AC68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在合同订立及履行过程中形成的与合同有关的文件均构成合同文件组成部分，并根据其性质确定优先解释顺序。</w:t>
      </w:r>
    </w:p>
    <w:p w14:paraId="64C8EA5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1.6图纸和承包人文件</w:t>
      </w:r>
    </w:p>
    <w:p w14:paraId="71EC2DD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1.6.1图纸的提供</w:t>
      </w:r>
    </w:p>
    <w:p w14:paraId="3430120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发包人向承包人提供图纸的期限：</w:t>
      </w:r>
      <w:r>
        <w:rPr>
          <w:rFonts w:hint="eastAsia" w:ascii="宋体" w:hAnsi="宋体" w:eastAsia="宋体" w:cs="宋体"/>
          <w:color w:val="auto"/>
          <w:szCs w:val="21"/>
          <w:highlight w:val="none"/>
          <w:u w:val="single"/>
        </w:rPr>
        <w:t>合同签订之后七天内或开工日期前14天内；</w:t>
      </w:r>
    </w:p>
    <w:p w14:paraId="223F8E3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发包人向承包人提供图纸的数量：</w:t>
      </w:r>
      <w:r>
        <w:rPr>
          <w:rFonts w:hint="eastAsia" w:ascii="宋体" w:hAnsi="宋体" w:eastAsia="宋体" w:cs="宋体"/>
          <w:color w:val="auto"/>
          <w:szCs w:val="21"/>
          <w:highlight w:val="none"/>
          <w:u w:val="single"/>
        </w:rPr>
        <w:t>开工前提供全套施工图纸三套；若承包人需增加图纸份数，经发包人同意后由承包人复制，费用由承包人承担。另提供该工程全套施工图纸电子版文件；</w:t>
      </w:r>
    </w:p>
    <w:p w14:paraId="59C70AA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发包人向承包人提供图纸的内容：</w:t>
      </w:r>
      <w:r>
        <w:rPr>
          <w:rFonts w:hint="eastAsia" w:ascii="宋体" w:hAnsi="宋体" w:eastAsia="宋体" w:cs="宋体"/>
          <w:color w:val="auto"/>
          <w:szCs w:val="21"/>
          <w:highlight w:val="none"/>
          <w:u w:val="single"/>
        </w:rPr>
        <w:t>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p>
    <w:p w14:paraId="3C643C9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1.6.4承包人文件</w:t>
      </w:r>
    </w:p>
    <w:p w14:paraId="186B4AC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需要由承包人提供的文件，包括：</w:t>
      </w:r>
    </w:p>
    <w:p w14:paraId="5D44D44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p>
    <w:p w14:paraId="11250AE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承包人提供的文件的期限为：</w:t>
      </w:r>
      <w:r>
        <w:rPr>
          <w:rFonts w:hint="eastAsia" w:ascii="宋体" w:hAnsi="宋体" w:eastAsia="宋体" w:cs="宋体"/>
          <w:color w:val="auto"/>
          <w:szCs w:val="21"/>
          <w:highlight w:val="none"/>
          <w:u w:val="single"/>
        </w:rPr>
        <w:t xml:space="preserve">根据发包人实际要求 </w:t>
      </w:r>
      <w:r>
        <w:rPr>
          <w:rFonts w:hint="eastAsia" w:ascii="宋体" w:hAnsi="宋体" w:eastAsia="宋体" w:cs="宋体"/>
          <w:color w:val="auto"/>
          <w:szCs w:val="21"/>
          <w:highlight w:val="none"/>
        </w:rPr>
        <w:t>；</w:t>
      </w:r>
    </w:p>
    <w:p w14:paraId="17A9DA6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承包人提供的文件的数量为：</w:t>
      </w:r>
      <w:r>
        <w:rPr>
          <w:rFonts w:hint="eastAsia" w:ascii="宋体" w:hAnsi="宋体" w:eastAsia="宋体" w:cs="宋体"/>
          <w:color w:val="auto"/>
          <w:szCs w:val="21"/>
          <w:highlight w:val="none"/>
          <w:u w:val="single"/>
        </w:rPr>
        <w:t>根据发包人实际要求</w:t>
      </w:r>
      <w:r>
        <w:rPr>
          <w:rFonts w:hint="eastAsia" w:ascii="宋体" w:hAnsi="宋体" w:eastAsia="宋体" w:cs="宋体"/>
          <w:color w:val="auto"/>
          <w:szCs w:val="21"/>
          <w:highlight w:val="none"/>
        </w:rPr>
        <w:t>；</w:t>
      </w:r>
    </w:p>
    <w:p w14:paraId="1667E58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承包人提供的文件的形式为：</w:t>
      </w:r>
      <w:r>
        <w:rPr>
          <w:rFonts w:hint="eastAsia" w:ascii="宋体" w:hAnsi="宋体" w:eastAsia="宋体" w:cs="宋体"/>
          <w:color w:val="auto"/>
          <w:szCs w:val="21"/>
          <w:highlight w:val="none"/>
          <w:u w:val="single"/>
        </w:rPr>
        <w:t>书面形式</w:t>
      </w:r>
      <w:r>
        <w:rPr>
          <w:rFonts w:hint="eastAsia" w:ascii="宋体" w:hAnsi="宋体" w:eastAsia="宋体" w:cs="宋体"/>
          <w:color w:val="auto"/>
          <w:szCs w:val="21"/>
          <w:highlight w:val="none"/>
        </w:rPr>
        <w:t>；</w:t>
      </w:r>
    </w:p>
    <w:p w14:paraId="236D2C8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监理人审批承包人文件的期限：</w:t>
      </w:r>
      <w:r>
        <w:rPr>
          <w:rFonts w:hint="eastAsia" w:ascii="宋体" w:hAnsi="宋体" w:eastAsia="宋体" w:cs="宋体"/>
          <w:color w:val="auto"/>
          <w:szCs w:val="21"/>
          <w:highlight w:val="none"/>
          <w:u w:val="single"/>
        </w:rPr>
        <w:t>收到承包人文件后14天内，监理人对承包人文件有异议的，承包人应予以修改，并重新报送监理人。监理人的审查并不减轻或免除承包人根据合同约定应当承担的责任。</w:t>
      </w:r>
    </w:p>
    <w:p w14:paraId="5C347DC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1.6.5现场图纸准备</w:t>
      </w:r>
    </w:p>
    <w:p w14:paraId="4F650AC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关于现场图纸准备的约定：</w:t>
      </w:r>
      <w:r>
        <w:rPr>
          <w:rFonts w:hint="eastAsia" w:ascii="宋体" w:hAnsi="宋体" w:eastAsia="宋体" w:cs="宋体"/>
          <w:color w:val="auto"/>
          <w:szCs w:val="21"/>
          <w:highlight w:val="none"/>
          <w:u w:val="single"/>
        </w:rPr>
        <w:t xml:space="preserve"> 承包人应在施工现场另外保存一套完整的图纸和承包人文件，供发包人、监理人及有关人员进行工程检查时使用</w:t>
      </w:r>
      <w:r>
        <w:rPr>
          <w:rFonts w:hint="eastAsia" w:ascii="宋体" w:hAnsi="宋体" w:eastAsia="宋体" w:cs="宋体"/>
          <w:color w:val="auto"/>
          <w:szCs w:val="21"/>
          <w:highlight w:val="none"/>
        </w:rPr>
        <w:t>。</w:t>
      </w:r>
    </w:p>
    <w:p w14:paraId="278C24F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1.7联络</w:t>
      </w:r>
    </w:p>
    <w:p w14:paraId="5C769C1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1.7.1发包人和承包人应当在</w:t>
      </w:r>
      <w:r>
        <w:rPr>
          <w:rFonts w:hint="eastAsia" w:ascii="宋体" w:hAnsi="宋体" w:eastAsia="宋体" w:cs="宋体"/>
          <w:color w:val="auto"/>
          <w:szCs w:val="21"/>
          <w:highlight w:val="none"/>
          <w:u w:val="single"/>
        </w:rPr>
        <w:t xml:space="preserve">  </w:t>
      </w:r>
      <w:r>
        <w:rPr>
          <w:rFonts w:hint="eastAsia" w:cs="宋体"/>
          <w:color w:val="auto"/>
          <w:szCs w:val="21"/>
          <w:highlight w:val="none"/>
          <w:u w:val="single"/>
          <w:lang w:val="en-US" w:eastAsia="zh-CN"/>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天内将与合同有关的通知、批准、证明、证书、指示、指令、要求、请求、同意、意见、确定和决定等书面函件送达对方当事人。</w:t>
      </w:r>
    </w:p>
    <w:p w14:paraId="475EB5C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1.7.2发包人接收文件的地点：</w:t>
      </w:r>
      <w:r>
        <w:rPr>
          <w:rFonts w:hint="eastAsia" w:ascii="宋体" w:hAnsi="宋体" w:eastAsia="宋体" w:cs="宋体"/>
          <w:color w:val="auto"/>
          <w:szCs w:val="21"/>
          <w:highlight w:val="none"/>
          <w:u w:val="single"/>
        </w:rPr>
        <w:t>发包人指定地点</w:t>
      </w:r>
      <w:r>
        <w:rPr>
          <w:rFonts w:hint="eastAsia" w:ascii="宋体" w:hAnsi="宋体" w:eastAsia="宋体" w:cs="宋体"/>
          <w:color w:val="auto"/>
          <w:szCs w:val="21"/>
          <w:highlight w:val="none"/>
        </w:rPr>
        <w:t>；</w:t>
      </w:r>
    </w:p>
    <w:p w14:paraId="1B75C06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发包人指定的接收人为：</w:t>
      </w:r>
      <w:r>
        <w:rPr>
          <w:rFonts w:hint="eastAsia" w:ascii="宋体" w:hAnsi="宋体" w:eastAsia="宋体" w:cs="宋体"/>
          <w:color w:val="auto"/>
          <w:szCs w:val="21"/>
          <w:highlight w:val="none"/>
          <w:u w:val="single"/>
        </w:rPr>
        <w:t>发包人现场代表</w:t>
      </w:r>
      <w:r>
        <w:rPr>
          <w:rFonts w:hint="eastAsia" w:ascii="宋体" w:hAnsi="宋体" w:eastAsia="宋体" w:cs="宋体"/>
          <w:color w:val="auto"/>
          <w:szCs w:val="21"/>
          <w:highlight w:val="none"/>
        </w:rPr>
        <w:t>。</w:t>
      </w:r>
    </w:p>
    <w:p w14:paraId="2EB4F19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承包人接收文件的地点：</w:t>
      </w:r>
      <w:r>
        <w:rPr>
          <w:rFonts w:hint="eastAsia" w:ascii="宋体" w:hAnsi="宋体" w:eastAsia="宋体" w:cs="宋体"/>
          <w:color w:val="auto"/>
          <w:szCs w:val="21"/>
          <w:highlight w:val="none"/>
          <w:u w:val="single"/>
        </w:rPr>
        <w:t>双方协商确定</w:t>
      </w:r>
      <w:r>
        <w:rPr>
          <w:rFonts w:hint="eastAsia" w:ascii="宋体" w:hAnsi="宋体" w:eastAsia="宋体" w:cs="宋体"/>
          <w:color w:val="auto"/>
          <w:szCs w:val="21"/>
          <w:highlight w:val="none"/>
        </w:rPr>
        <w:t>；</w:t>
      </w:r>
    </w:p>
    <w:p w14:paraId="5CDF03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承包人指定的接收人为：</w:t>
      </w:r>
      <w:r>
        <w:rPr>
          <w:rFonts w:hint="eastAsia" w:ascii="宋体" w:hAnsi="宋体" w:eastAsia="宋体" w:cs="宋体"/>
          <w:color w:val="auto"/>
          <w:szCs w:val="21"/>
          <w:highlight w:val="none"/>
          <w:u w:val="single"/>
        </w:rPr>
        <w:t>双方协商确定</w:t>
      </w:r>
      <w:r>
        <w:rPr>
          <w:rFonts w:hint="eastAsia" w:ascii="宋体" w:hAnsi="宋体" w:eastAsia="宋体" w:cs="宋体"/>
          <w:color w:val="auto"/>
          <w:szCs w:val="21"/>
          <w:highlight w:val="none"/>
        </w:rPr>
        <w:t>。</w:t>
      </w:r>
    </w:p>
    <w:p w14:paraId="68A427C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监理人接收文件的地点：</w:t>
      </w:r>
      <w:r>
        <w:rPr>
          <w:rFonts w:hint="eastAsia" w:ascii="宋体" w:hAnsi="宋体" w:eastAsia="宋体" w:cs="宋体"/>
          <w:color w:val="auto"/>
          <w:szCs w:val="21"/>
          <w:highlight w:val="none"/>
          <w:u w:val="single"/>
        </w:rPr>
        <w:t>双方协商确定</w:t>
      </w:r>
      <w:r>
        <w:rPr>
          <w:rFonts w:hint="eastAsia" w:ascii="宋体" w:hAnsi="宋体" w:eastAsia="宋体" w:cs="宋体"/>
          <w:color w:val="auto"/>
          <w:szCs w:val="21"/>
          <w:highlight w:val="none"/>
        </w:rPr>
        <w:t>；</w:t>
      </w:r>
    </w:p>
    <w:p w14:paraId="2365D4B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监理人指定的接收人为：</w:t>
      </w:r>
      <w:r>
        <w:rPr>
          <w:rFonts w:hint="eastAsia" w:ascii="宋体" w:hAnsi="宋体" w:eastAsia="宋体" w:cs="宋体"/>
          <w:color w:val="auto"/>
          <w:szCs w:val="21"/>
          <w:highlight w:val="none"/>
          <w:u w:val="single"/>
        </w:rPr>
        <w:t>双方协商确定</w:t>
      </w:r>
      <w:r>
        <w:rPr>
          <w:rFonts w:hint="eastAsia" w:ascii="宋体" w:hAnsi="宋体" w:eastAsia="宋体" w:cs="宋体"/>
          <w:color w:val="auto"/>
          <w:szCs w:val="21"/>
          <w:highlight w:val="none"/>
        </w:rPr>
        <w:t>。</w:t>
      </w:r>
    </w:p>
    <w:p w14:paraId="609AFA5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1.10交通运输</w:t>
      </w:r>
    </w:p>
    <w:p w14:paraId="77ACA4B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承包人根据现场已有状况，为满足施工需要的相关措施及费用已包含在合同总价中。</w:t>
      </w:r>
    </w:p>
    <w:p w14:paraId="3E60D1D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1.10.1出入现场的权利</w:t>
      </w:r>
    </w:p>
    <w:p w14:paraId="4D83B5C3">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关于出入现场的权利的约定：</w:t>
      </w:r>
      <w:r>
        <w:rPr>
          <w:rFonts w:hint="eastAsia" w:ascii="宋体" w:hAnsi="宋体" w:eastAsia="宋体" w:cs="宋体"/>
          <w:color w:val="auto"/>
          <w:szCs w:val="21"/>
          <w:highlight w:val="none"/>
          <w:u w:val="single"/>
        </w:rPr>
        <w:t>施工无关人员不得入内，所有特殊工种人员均应有上岗资格并符合国家有关规定，持有有关部门颁发的资格证书或上岗证，在施工上岗之前交由监理工程师审查，审核通过后方准佩戴单位岗位证上岗施工。承包人必须遵守招标人及政府有关主管部门对施工现场的管理规定，按规定办理有关手续、承担有关费用，该费用已含在签约合同价中 。</w:t>
      </w:r>
    </w:p>
    <w:p w14:paraId="6C67402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1.10.3场内交通</w:t>
      </w:r>
    </w:p>
    <w:p w14:paraId="36D355C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关于场外交通和场内交通的边界的约定：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467D02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关于发包人向承包人免费提供满足工程施工需要的场内道路和交通设施的约定：</w:t>
      </w:r>
      <w:r>
        <w:rPr>
          <w:rFonts w:hint="eastAsia" w:ascii="宋体" w:hAnsi="宋体" w:eastAsia="宋体" w:cs="宋体"/>
          <w:color w:val="auto"/>
          <w:szCs w:val="21"/>
          <w:highlight w:val="none"/>
          <w:u w:val="single"/>
        </w:rPr>
        <w:t xml:space="preserve">见现场条件 </w:t>
      </w:r>
      <w:r>
        <w:rPr>
          <w:rFonts w:hint="eastAsia" w:ascii="宋体" w:hAnsi="宋体" w:eastAsia="宋体" w:cs="宋体"/>
          <w:color w:val="auto"/>
          <w:szCs w:val="21"/>
          <w:highlight w:val="none"/>
        </w:rPr>
        <w:t>。</w:t>
      </w:r>
    </w:p>
    <w:p w14:paraId="5EE83EC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1.10.4超大件和超重件的运输</w:t>
      </w:r>
    </w:p>
    <w:p w14:paraId="2EE8291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运输超大件或超重件所需的道路和桥梁临时加固改造费用和其他有关费用：</w:t>
      </w:r>
    </w:p>
    <w:p w14:paraId="40658E18">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无</w:t>
      </w:r>
    </w:p>
    <w:p w14:paraId="5A53617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1.11知识产权</w:t>
      </w:r>
    </w:p>
    <w:p w14:paraId="51268A39">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属于发包人。</w:t>
      </w:r>
    </w:p>
    <w:p w14:paraId="2DFB1BCA">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关于发包人提供的上述文件的使用限制的要求：</w:t>
      </w:r>
      <w:r>
        <w:rPr>
          <w:rFonts w:hint="eastAsia" w:ascii="宋体" w:hAnsi="宋体" w:eastAsia="宋体" w:cs="宋体"/>
          <w:color w:val="auto"/>
          <w:szCs w:val="21"/>
          <w:highlight w:val="none"/>
          <w:u w:val="single"/>
        </w:rPr>
        <w:t>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p>
    <w:p w14:paraId="15D10937">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1.11.2关于承包人为实施工程所编制文件的著作权的归属：</w:t>
      </w:r>
      <w:r>
        <w:rPr>
          <w:rFonts w:hint="eastAsia" w:ascii="宋体" w:hAnsi="宋体" w:eastAsia="宋体" w:cs="宋体"/>
          <w:color w:val="auto"/>
          <w:szCs w:val="21"/>
          <w:highlight w:val="none"/>
          <w:u w:val="single"/>
        </w:rPr>
        <w:t>除署名权以外的著作权属于发包人。</w:t>
      </w:r>
    </w:p>
    <w:p w14:paraId="75A364FB">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关于承包人提供的上述文件的使用限制的要求：</w:t>
      </w:r>
      <w:r>
        <w:rPr>
          <w:rFonts w:hint="eastAsia" w:ascii="宋体" w:hAnsi="宋体" w:eastAsia="宋体" w:cs="宋体"/>
          <w:color w:val="auto"/>
          <w:szCs w:val="21"/>
          <w:highlight w:val="none"/>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p>
    <w:p w14:paraId="312E8BE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1.11.4承包人在施工过程中所采用的专利、专有技术、技术秘密的使用费的承担方式：</w:t>
      </w:r>
      <w:r>
        <w:rPr>
          <w:rFonts w:hint="eastAsia" w:ascii="宋体" w:hAnsi="宋体" w:eastAsia="宋体" w:cs="宋体"/>
          <w:color w:val="auto"/>
          <w:szCs w:val="21"/>
          <w:highlight w:val="none"/>
          <w:u w:val="single"/>
        </w:rPr>
        <w:t>结算时不予调整，已含在合同价中</w:t>
      </w:r>
      <w:r>
        <w:rPr>
          <w:rFonts w:hint="eastAsia" w:ascii="宋体" w:hAnsi="宋体" w:eastAsia="宋体" w:cs="宋体"/>
          <w:color w:val="auto"/>
          <w:szCs w:val="21"/>
          <w:highlight w:val="none"/>
        </w:rPr>
        <w:t>。</w:t>
      </w:r>
    </w:p>
    <w:p w14:paraId="226157F2">
      <w:pPr>
        <w:tabs>
          <w:tab w:val="left" w:pos="0"/>
        </w:tabs>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工程量清单错误的修正</w:t>
      </w:r>
    </w:p>
    <w:p w14:paraId="3D978A5A">
      <w:pPr>
        <w:tabs>
          <w:tab w:val="left" w:pos="0"/>
        </w:tabs>
        <w:spacing w:line="360" w:lineRule="auto"/>
        <w:ind w:firstLine="440"/>
        <w:rPr>
          <w:rStyle w:val="226"/>
          <w:rFonts w:hint="eastAsia" w:ascii="宋体" w:hAnsi="宋体" w:eastAsia="宋体" w:cs="宋体"/>
          <w:color w:val="auto"/>
          <w:sz w:val="22"/>
          <w:szCs w:val="21"/>
          <w:highlight w:val="none"/>
          <w:u w:val="single"/>
        </w:rPr>
      </w:pPr>
      <w:r>
        <w:rPr>
          <w:rStyle w:val="226"/>
          <w:rFonts w:hint="eastAsia" w:ascii="宋体" w:hAnsi="宋体" w:eastAsia="宋体" w:cs="宋体"/>
          <w:color w:val="auto"/>
          <w:sz w:val="22"/>
          <w:szCs w:val="21"/>
          <w:highlight w:val="none"/>
        </w:rPr>
        <w:t>1.13.1出现工程量清单错误时，是否调整合同价格：</w:t>
      </w:r>
      <w:r>
        <w:rPr>
          <w:rStyle w:val="226"/>
          <w:rFonts w:hint="eastAsia" w:ascii="宋体" w:hAnsi="宋体" w:eastAsia="宋体" w:cs="宋体"/>
          <w:bCs/>
          <w:color w:val="auto"/>
          <w:sz w:val="22"/>
          <w:szCs w:val="21"/>
          <w:highlight w:val="none"/>
          <w:u w:val="single"/>
        </w:rPr>
        <w:t>调整</w:t>
      </w:r>
    </w:p>
    <w:p w14:paraId="09EABDA2">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 xml:space="preserve">允许调整合同价格的工程量偏差范围： </w:t>
      </w:r>
    </w:p>
    <w:p w14:paraId="6E3D1821">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p>
    <w:p w14:paraId="5B2FCC8F">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2、若施工中出现施工图纸（含设计变更）与工程量清单项目特征描述不符，应及时上报招标人，按照招标人确认的最终方案进行施工。</w:t>
      </w:r>
    </w:p>
    <w:p w14:paraId="7E1F5F1A">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3、因分部分项工程量清单漏项、项目特征不符或非承包人原因的工程变更，造成增加新的工程量清单项目，其对应的综合单价按下列方法确定：</w:t>
      </w:r>
    </w:p>
    <w:p w14:paraId="739F3036">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（1）已标价工程量清单中有适用于工程变更项目的，应采用该项目的单价；但当工程变更导致该清单项目的工程数量发生变化，且工程量偏差超过15%时，该项目单价应按照以下规定调整：</w:t>
      </w:r>
    </w:p>
    <w:p w14:paraId="32EC2442">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 xml:space="preserve">当工程量减少15%以上时，该工程量的综合单价保持不变；当工程量增加15%以上时，增加部分的工程量的综合单价应予调低；具体调整办法参照（3）（4）条。 </w:t>
      </w:r>
    </w:p>
    <w:p w14:paraId="307CF956">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（2）已标价工程量清单中没有适用但有类似于工程变更项目的，可在合理范围内参照类似项目的单价；</w:t>
      </w:r>
    </w:p>
    <w:p w14:paraId="01AB4F0A">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p>
    <w:p w14:paraId="7D1966BB">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p>
    <w:p w14:paraId="09279665">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5）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p>
    <w:p w14:paraId="304381A4">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①安全文明施工费应按照实际发生变化的措施项目执行</w:t>
      </w:r>
      <w:r>
        <w:rPr>
          <w:rStyle w:val="226"/>
          <w:rFonts w:hint="eastAsia" w:ascii="宋体" w:hAnsi="宋体" w:eastAsia="宋体" w:cs="宋体"/>
          <w:color w:val="auto"/>
          <w:sz w:val="22"/>
          <w:szCs w:val="21"/>
          <w:highlight w:val="none"/>
          <w:lang w:eastAsia="zh-CN"/>
        </w:rPr>
        <w:t>《</w:t>
      </w:r>
      <w:r>
        <w:rPr>
          <w:rStyle w:val="226"/>
          <w:rFonts w:hint="eastAsia" w:ascii="宋体" w:hAnsi="宋体" w:eastAsia="宋体" w:cs="宋体"/>
          <w:color w:val="auto"/>
          <w:sz w:val="22"/>
          <w:szCs w:val="21"/>
          <w:highlight w:val="none"/>
          <w:lang w:val="en-US" w:eastAsia="zh-CN"/>
        </w:rPr>
        <w:t>省住房和城乡建设厅关于实施安全文明施工措施费动态计价管理的公告》[2020]第11号文</w:t>
      </w:r>
      <w:r>
        <w:rPr>
          <w:rStyle w:val="226"/>
          <w:rFonts w:hint="eastAsia" w:ascii="宋体" w:hAnsi="宋体" w:eastAsia="宋体" w:cs="宋体"/>
          <w:color w:val="auto"/>
          <w:sz w:val="22"/>
          <w:szCs w:val="21"/>
          <w:highlight w:val="none"/>
        </w:rPr>
        <w:t>规定计取；</w:t>
      </w:r>
    </w:p>
    <w:p w14:paraId="71F0B6A8">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②采用单价计算的措施项目费，按照实际发生变化措施项目，按照上述（1）、（2）</w:t>
      </w:r>
      <w:r>
        <w:rPr>
          <w:rStyle w:val="226"/>
          <w:rFonts w:hint="eastAsia" w:ascii="宋体" w:hAnsi="宋体" w:eastAsia="宋体" w:cs="宋体"/>
          <w:color w:val="auto"/>
          <w:sz w:val="22"/>
          <w:szCs w:val="21"/>
          <w:highlight w:val="none"/>
          <w:lang w:eastAsia="zh-CN"/>
        </w:rPr>
        <w:t>、</w:t>
      </w:r>
      <w:r>
        <w:rPr>
          <w:rStyle w:val="226"/>
          <w:rFonts w:hint="eastAsia" w:ascii="宋体" w:hAnsi="宋体" w:eastAsia="宋体" w:cs="宋体"/>
          <w:color w:val="auto"/>
          <w:sz w:val="22"/>
          <w:szCs w:val="21"/>
          <w:highlight w:val="none"/>
        </w:rPr>
        <w:t>（3）、（4）条确定单价，工程量按实计算；</w:t>
      </w:r>
    </w:p>
    <w:p w14:paraId="3FAEC217">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③按总价计算的措施项目费，以项为单位的包干使用。</w:t>
      </w:r>
    </w:p>
    <w:p w14:paraId="7E93544F">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④采用费率计算的措施项目费，以原计算基数按实调整。</w:t>
      </w:r>
    </w:p>
    <w:p w14:paraId="1A0E7B70">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如果承包人未事先将拟实施方案提交给发包人确认，则应视为工程变更不引起措施项目费的调整或承包人放弃调整措施项目费的权利；</w:t>
      </w:r>
    </w:p>
    <w:p w14:paraId="560F9186">
      <w:pPr>
        <w:spacing w:line="360" w:lineRule="auto"/>
        <w:ind w:firstLine="440"/>
        <w:rPr>
          <w:rFonts w:hint="eastAsia" w:ascii="宋体" w:hAnsi="宋体" w:eastAsia="宋体" w:cs="宋体"/>
          <w:color w:val="auto"/>
          <w:szCs w:val="21"/>
          <w:highlight w:val="none"/>
        </w:rPr>
      </w:pPr>
      <w:r>
        <w:rPr>
          <w:rStyle w:val="226"/>
          <w:rFonts w:hint="eastAsia" w:ascii="宋体" w:hAnsi="宋体" w:eastAsia="宋体" w:cs="宋体"/>
          <w:color w:val="auto"/>
          <w:sz w:val="22"/>
          <w:szCs w:val="21"/>
          <w:highlight w:val="none"/>
        </w:rPr>
        <w:t>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p>
    <w:p w14:paraId="1FE3B71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w:t>
      </w:r>
    </w:p>
    <w:p w14:paraId="56C4247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2.2发包人代表</w:t>
      </w:r>
    </w:p>
    <w:p w14:paraId="1F832FF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发包人代表：</w:t>
      </w:r>
    </w:p>
    <w:p w14:paraId="31F969A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1A7B9B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A06B50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8B24B3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A45388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2FC88F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C2BB050">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发包人对发包人代表的授权范围如下：</w:t>
      </w:r>
      <w:r>
        <w:rPr>
          <w:rFonts w:hint="eastAsia" w:ascii="宋体" w:hAnsi="宋体" w:eastAsia="宋体" w:cs="宋体"/>
          <w:color w:val="auto"/>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p>
    <w:p w14:paraId="5B7F570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2.4施工现场、施工条件和基础资料的提供</w:t>
      </w:r>
    </w:p>
    <w:p w14:paraId="563F419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2.4.1提供施工现场</w:t>
      </w:r>
    </w:p>
    <w:p w14:paraId="73063FB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关于发包人移交施工现场的期限要求：</w:t>
      </w:r>
      <w:r>
        <w:rPr>
          <w:rFonts w:hint="eastAsia" w:ascii="宋体" w:hAnsi="宋体" w:eastAsia="宋体" w:cs="宋体"/>
          <w:color w:val="auto"/>
          <w:szCs w:val="21"/>
          <w:highlight w:val="none"/>
          <w:u w:val="single"/>
        </w:rPr>
        <w:t>发包人应最迟于开工日期7天前向承包人移交施工现场</w:t>
      </w:r>
      <w:r>
        <w:rPr>
          <w:rFonts w:hint="eastAsia" w:ascii="宋体" w:hAnsi="宋体" w:eastAsia="宋体" w:cs="宋体"/>
          <w:color w:val="auto"/>
          <w:szCs w:val="21"/>
          <w:highlight w:val="none"/>
        </w:rPr>
        <w:t>。</w:t>
      </w:r>
    </w:p>
    <w:p w14:paraId="16FBBF8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2.4.2提供施工条件</w:t>
      </w:r>
    </w:p>
    <w:p w14:paraId="0937ED0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关于发包人应负责提供施工所需要的条件，包括：</w:t>
      </w:r>
    </w:p>
    <w:p w14:paraId="630521E5">
      <w:pPr>
        <w:tabs>
          <w:tab w:val="left" w:pos="0"/>
          <w:tab w:val="left" w:pos="2552"/>
        </w:tabs>
        <w:spacing w:line="360" w:lineRule="auto"/>
        <w:ind w:firstLine="440"/>
        <w:rPr>
          <w:rFonts w:hint="eastAsia" w:ascii="宋体" w:hAnsi="宋体" w:eastAsia="宋体" w:cs="宋体"/>
          <w:b/>
          <w:color w:val="auto"/>
          <w:szCs w:val="21"/>
          <w:highlight w:val="none"/>
        </w:rPr>
      </w:pPr>
      <w:r>
        <w:rPr>
          <w:rFonts w:hint="eastAsia" w:ascii="宋体" w:hAnsi="宋体" w:eastAsia="宋体" w:cs="宋体"/>
          <w:color w:val="auto"/>
          <w:szCs w:val="21"/>
          <w:highlight w:val="none"/>
          <w:u w:val="single"/>
        </w:rPr>
        <w:t xml:space="preserve">(1) </w:t>
      </w:r>
      <w:r>
        <w:rPr>
          <w:rFonts w:hint="eastAsia" w:ascii="宋体" w:hAnsi="宋体" w:eastAsia="宋体" w:cs="宋体"/>
          <w:color w:val="auto"/>
          <w:szCs w:val="21"/>
          <w:highlight w:val="none"/>
          <w:u w:val="single"/>
          <w:lang w:eastAsia="zh-CN"/>
        </w:rPr>
        <w:t>承包人自行考虑施工场地水、电情况，由承包人自行解决接水接电，承包人根据现场情况自行考虑供水、供电费用（含接水、接电费用）并已包括在合同总价中，以后不作调整。通讯工具自备。</w:t>
      </w:r>
    </w:p>
    <w:p w14:paraId="0D68DF5A">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(2)施工场地与公共道路的通道开通时间和要求：见现场实际条件，包含在合同价中。</w:t>
      </w:r>
    </w:p>
    <w:p w14:paraId="079873C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2.4.3提供基础资料</w:t>
      </w:r>
    </w:p>
    <w:p w14:paraId="204EEA3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发包人提供现有资料供承包人使用，承包人自行踏勘现场确定。</w:t>
      </w:r>
    </w:p>
    <w:p w14:paraId="35CAB68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(1)工程地质和地下管线资料的提供时间：开工前提供。</w:t>
      </w:r>
    </w:p>
    <w:p w14:paraId="135BCA33">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(2)由发包人办理的施工所需证件、批件的名称和完成时间：/。</w:t>
      </w:r>
    </w:p>
    <w:p w14:paraId="78CE2802">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(3)水准点与坐标控制点交验要求：开工前由承发包双方在监理单位见证下现场交验，并以书面形式提供给承包人。</w:t>
      </w:r>
    </w:p>
    <w:p w14:paraId="4E381E51">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(4)图纸会审和设计交底时间：开工前由发包人组织监理、承包人和设计单位进行图纸会审和设计交底。</w:t>
      </w:r>
    </w:p>
    <w:p w14:paraId="6B68F335">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(5)双方约定发包人应做的其它工作：无</w:t>
      </w:r>
    </w:p>
    <w:p w14:paraId="7CF02BD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2.5资金来源证明及支付担保</w:t>
      </w:r>
    </w:p>
    <w:p w14:paraId="150AEC6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发包人提供资金来源证明的期限要求：</w:t>
      </w:r>
      <w:r>
        <w:rPr>
          <w:rFonts w:hint="eastAsia" w:ascii="宋体" w:hAnsi="宋体" w:eastAsia="宋体" w:cs="宋体"/>
          <w:color w:val="auto"/>
          <w:szCs w:val="21"/>
          <w:highlight w:val="none"/>
          <w:u w:val="single"/>
        </w:rPr>
        <w:t xml:space="preserve"> 执行通用条款</w:t>
      </w:r>
      <w:r>
        <w:rPr>
          <w:rFonts w:hint="eastAsia" w:ascii="宋体" w:hAnsi="宋体" w:eastAsia="宋体" w:cs="宋体"/>
          <w:color w:val="auto"/>
          <w:szCs w:val="21"/>
          <w:highlight w:val="none"/>
        </w:rPr>
        <w:t>。</w:t>
      </w:r>
    </w:p>
    <w:p w14:paraId="26615CA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发包人是否提供支付担保：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5909D7A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发包人提供支付担保的形式：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4374B4D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3.承包人</w:t>
      </w:r>
    </w:p>
    <w:p w14:paraId="25EB0D5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3.1承包人的一般义务</w:t>
      </w:r>
    </w:p>
    <w:p w14:paraId="391469D5">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承包人在履行合同过程中应遵守法律和工程建设标准规范，并履行以下义务：</w:t>
      </w:r>
    </w:p>
    <w:p w14:paraId="4E7AE06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（1）办理法律规定应由承包人办理的许可和批准，并将办理结果书面报送发包人留存；</w:t>
      </w:r>
    </w:p>
    <w:p w14:paraId="22735478">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（2）按法律规定和合同约定完成工程，并在保修期内承担保修义务；</w:t>
      </w:r>
    </w:p>
    <w:p w14:paraId="69F5DFA1">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（3）按法律规定和合同约定采取施工安全和环境保护措施，办理工伤保险，确保工程及人员、材料、设备和设施的安全；</w:t>
      </w:r>
    </w:p>
    <w:p w14:paraId="3FBE26F4">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（4）按合同约定的工作内容和施工进度要求，编制施工组织设计和施工措施计划，并对所有施工作业和施工方法的完备性和安全可靠性负责；</w:t>
      </w:r>
    </w:p>
    <w:p w14:paraId="4DD0525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p>
    <w:p w14:paraId="640B4B90">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p>
    <w:p w14:paraId="31296042">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按照通用条款第6.3款〔环境保护〕约定负责施工场地及其周边环境与生态的保护工作；</w:t>
      </w:r>
    </w:p>
    <w:p w14:paraId="59EFE078">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（7）按通用条款第6.1款〔安全文明施工〕约定采取施工安全措施，确保工程及其人员、材料、设备和设施的安全，防止因工程施工造成的人身伤害和财产损失；</w:t>
      </w:r>
    </w:p>
    <w:p w14:paraId="7108963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（8）将发包人按合同约定支付的各项价款专用于合同工程，且应及时支付其雇用人员工资；</w:t>
      </w:r>
    </w:p>
    <w:p w14:paraId="0160DF2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（9）承包人提交的竣工资料的内容：</w:t>
      </w:r>
    </w:p>
    <w:p w14:paraId="23CED737">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p>
    <w:p w14:paraId="1C4BFD7F">
      <w:pPr>
        <w:spacing w:line="360" w:lineRule="auto"/>
        <w:ind w:firstLine="48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承包人需要提交的竣工资料套数：</w:t>
      </w:r>
      <w:r>
        <w:rPr>
          <w:rFonts w:hint="eastAsia" w:ascii="宋体" w:hAnsi="宋体" w:eastAsia="宋体" w:cs="宋体"/>
          <w:color w:val="auto"/>
          <w:szCs w:val="21"/>
          <w:highlight w:val="none"/>
          <w:u w:val="single"/>
        </w:rPr>
        <w:t>不少于两套竣工资料原件，四套复印件及电子文档(含竣工图八套)二套。</w:t>
      </w:r>
    </w:p>
    <w:p w14:paraId="241B8924">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承包人提交的竣工资料的费用承担：</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09B58A41">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承包人提交的竣工资料移交时间：</w:t>
      </w:r>
      <w:r>
        <w:rPr>
          <w:rFonts w:hint="eastAsia" w:ascii="宋体" w:hAnsi="宋体" w:eastAsia="宋体" w:cs="宋体"/>
          <w:color w:val="auto"/>
          <w:szCs w:val="21"/>
          <w:highlight w:val="none"/>
          <w:u w:val="single"/>
        </w:rPr>
        <w:t>工程具备竣工验收条件后40天内。</w:t>
      </w:r>
    </w:p>
    <w:p w14:paraId="0758EC66">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承包人提交的竣工资料形式要求：</w:t>
      </w:r>
      <w:r>
        <w:rPr>
          <w:rFonts w:hint="eastAsia" w:ascii="宋体" w:hAnsi="宋体" w:eastAsia="宋体" w:cs="宋体"/>
          <w:color w:val="auto"/>
          <w:szCs w:val="21"/>
          <w:highlight w:val="none"/>
          <w:u w:val="single"/>
        </w:rPr>
        <w:t>书面文件和电子文件。</w:t>
      </w:r>
    </w:p>
    <w:p w14:paraId="2D1002A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(10)承包人应履行的其他义务：</w:t>
      </w:r>
    </w:p>
    <w:p w14:paraId="5C440947">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10.1）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p>
    <w:p w14:paraId="09E8AD74">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（10.2）需承包人办理的有关施工场地交通、环卫和施工噪音管理等手续:</w:t>
      </w:r>
    </w:p>
    <w:p w14:paraId="58EEB731">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p>
    <w:p w14:paraId="7C291CBB">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（10.3）已完工程成品保护的特殊要求及费用承担：由承包人负责成品保护并承担费用，发包人不承担任何费用。</w:t>
      </w:r>
    </w:p>
    <w:p w14:paraId="1FFC0EE6">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因承包人原因造成破坏的，承包人必须无条件及时修复，并承担由此发生的全部费用和责任，发包人不承担任何费用和责任。</w:t>
      </w:r>
    </w:p>
    <w:p w14:paraId="38E7C812">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（10.4）施工场地清洁卫生的要求：按标准化施工现场管理，保持现场清洁，符合环境要求；交工前清理现场，因施工产生的垃圾外运，费用由承包人自理，发包人不承担任何费用。</w:t>
      </w:r>
    </w:p>
    <w:p w14:paraId="67E3EDB6">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10.5）承包人有义务对本工程图纸详细审阅，并提出合理化建议，确保施工期间尽量少发生拆除变更等浪费现象。施工过程中因承包人与周围发生的纠纷由承包人自行协商解决，费用由承包人承担，发包人不承担任何费用。</w:t>
      </w:r>
    </w:p>
    <w:p w14:paraId="0CB26877">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（10.6）双方约定承包人应做的其它工作：（包括但不限于）</w:t>
      </w:r>
    </w:p>
    <w:p w14:paraId="7E5CC2D4">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a. 承包人如因施工现场道路及周边环境所限，导致运输车辆不能到达指定地点发生二次转运或延误工期等情况，承包人承担相应责任及费用。</w:t>
      </w:r>
    </w:p>
    <w:p w14:paraId="37B317B4">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478FFE4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c.严格按施工图纸、国家现行的施工及技术验收规范进行施工，做好自检工作，并按规定程序进行检测和报验，确保工程质量和工期。</w:t>
      </w:r>
    </w:p>
    <w:p w14:paraId="069A65BF">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d.严格按施工安全规范要求采取预防事故的措施，确保施工安全和第三者安全。</w:t>
      </w:r>
    </w:p>
    <w:p w14:paraId="592A0BA6">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p>
    <w:p w14:paraId="17D3A9A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f.施工中承包人应做好施工原始记录，隐蔽工程记录，按照国家验收规范的要求，整理、检查、编制工程验收竣工资料。并在竣工时按规定移交发包人。</w:t>
      </w:r>
    </w:p>
    <w:p w14:paraId="205BAAD4">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g.在施工中，由承包人自身原因造成的停工、返工、材料、物件的倒运、机械二次进场等损失，均由承包人承担。</w:t>
      </w:r>
    </w:p>
    <w:p w14:paraId="5FA63E31">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p>
    <w:p w14:paraId="11647A3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i. 承包人应主动做好与水电、弱电等安装工程以及外墙装修工程等其他施工单位的协调配合工作，因此发生的费用已包括在合同价中，结算时不予调整。</w:t>
      </w:r>
    </w:p>
    <w:p w14:paraId="0167300F">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j.其他1、竣工资料符合连云港市城建档案馆关于档案资料的要求；2、准时参加监理组织的每周工程例会和专题会议；3、应接受发包人的现场协调管理；4、其它事宜由双方协商另定。</w:t>
      </w:r>
    </w:p>
    <w:p w14:paraId="38C4036A">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承包人未能按要求履行以上各项义务，造成发包人损失的，承包人应赔偿发包人有关损失。</w:t>
      </w:r>
    </w:p>
    <w:p w14:paraId="069A3F2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3.2项目负责人</w:t>
      </w:r>
    </w:p>
    <w:p w14:paraId="15A6B8F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3.2.1项目负责人：</w:t>
      </w:r>
    </w:p>
    <w:p w14:paraId="5786C9D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66B0F3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E3C68D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书</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05E075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5BE6AA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75A163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65D9CB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承包人对项目负责人的授权范围如下：</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全面负责现场施工管理   </w:t>
      </w:r>
      <w:r>
        <w:rPr>
          <w:rFonts w:hint="eastAsia" w:ascii="宋体" w:hAnsi="宋体" w:eastAsia="宋体" w:cs="宋体"/>
          <w:color w:val="auto"/>
          <w:szCs w:val="21"/>
          <w:highlight w:val="none"/>
        </w:rPr>
        <w:t>。</w:t>
      </w:r>
    </w:p>
    <w:p w14:paraId="5C15C822">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关于项目负责人每月在施工现场的时间要求：</w:t>
      </w:r>
      <w:r>
        <w:rPr>
          <w:rFonts w:hint="eastAsia" w:ascii="宋体" w:hAnsi="宋体" w:eastAsia="宋体" w:cs="宋体"/>
          <w:color w:val="auto"/>
          <w:szCs w:val="21"/>
          <w:highlight w:val="none"/>
          <w:u w:val="single"/>
        </w:rPr>
        <w:t>开工之日起到竣工结束，项目经理(包含项目技术负责人)每周至少5日，每天必须保证8小时以上在现场组织施工，离开现场需征得发包人的负责人书面同意。发包人每天实行签到制度。</w:t>
      </w:r>
    </w:p>
    <w:p w14:paraId="53ECDCC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承包人未提交劳动合同，以及没有为项目经理缴纳社会保险证明的违约责任：</w:t>
      </w:r>
      <w:r>
        <w:rPr>
          <w:rFonts w:hint="eastAsia" w:ascii="宋体" w:hAnsi="宋体" w:eastAsia="宋体" w:cs="宋体"/>
          <w:color w:val="auto"/>
          <w:szCs w:val="21"/>
          <w:highlight w:val="none"/>
          <w:u w:val="single"/>
        </w:rPr>
        <w:t>发包人按</w:t>
      </w:r>
      <w:r>
        <w:rPr>
          <w:rFonts w:hint="eastAsia" w:cs="宋体"/>
          <w:color w:val="auto"/>
          <w:szCs w:val="21"/>
          <w:highlight w:val="none"/>
          <w:u w:val="single"/>
          <w:lang w:val="en-US" w:eastAsia="zh-CN"/>
        </w:rPr>
        <w:t>1</w:t>
      </w:r>
      <w:r>
        <w:rPr>
          <w:rFonts w:hint="eastAsia" w:ascii="宋体" w:hAnsi="宋体" w:eastAsia="宋体" w:cs="宋体"/>
          <w:color w:val="auto"/>
          <w:szCs w:val="21"/>
          <w:highlight w:val="none"/>
          <w:u w:val="single"/>
        </w:rPr>
        <w:t>万/次进行处罚，同时发包人有权要求承包人更换项目经理，且更换后的项目经理资质等级、业绩不低于原项目经理，否则发包人有权解除施工合同</w:t>
      </w:r>
      <w:r>
        <w:rPr>
          <w:rFonts w:hint="eastAsia" w:ascii="宋体" w:hAnsi="宋体" w:eastAsia="宋体" w:cs="宋体"/>
          <w:color w:val="auto"/>
          <w:szCs w:val="21"/>
          <w:highlight w:val="none"/>
        </w:rPr>
        <w:t>。</w:t>
      </w:r>
    </w:p>
    <w:p w14:paraId="023D48C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项目经理未经批准，擅自离开施工现场的违约责任：</w:t>
      </w:r>
      <w:r>
        <w:rPr>
          <w:rFonts w:hint="eastAsia" w:ascii="宋体" w:hAnsi="宋体" w:eastAsia="宋体" w:cs="宋体"/>
          <w:color w:val="auto"/>
          <w:szCs w:val="21"/>
          <w:highlight w:val="none"/>
          <w:u w:val="single"/>
        </w:rPr>
        <w:t>发包人发现项目经理擅自离开施工现场的，承包人须向发包人按2000元/次支付违约金，如累计发现五次项目经理擅自离开施工现场，视为承包人擅自更换项目经理，按照3.2.3条款约定执行</w:t>
      </w:r>
      <w:r>
        <w:rPr>
          <w:rFonts w:hint="eastAsia" w:ascii="宋体" w:hAnsi="宋体" w:eastAsia="宋体" w:cs="宋体"/>
          <w:color w:val="auto"/>
          <w:szCs w:val="21"/>
          <w:highlight w:val="none"/>
        </w:rPr>
        <w:t>。</w:t>
      </w:r>
    </w:p>
    <w:p w14:paraId="57437FE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 承包人擅自更换项目负责人的违约责任：</w:t>
      </w:r>
    </w:p>
    <w:p w14:paraId="45344190">
      <w:pPr>
        <w:spacing w:line="360" w:lineRule="auto"/>
        <w:ind w:firstLine="51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项目经理及项目总工只有在发生以下特殊情况方可更换：</w:t>
      </w:r>
      <w:r>
        <w:rPr>
          <w:rFonts w:hint="eastAsia" w:ascii="宋体" w:hAnsi="宋体" w:eastAsia="宋体" w:cs="宋体"/>
          <w:color w:val="auto"/>
          <w:szCs w:val="21"/>
          <w:highlight w:val="none"/>
          <w:u w:val="single"/>
        </w:rPr>
        <w:t>因故伤残或重大疾病丧失工作能力或死亡的、调离承包人单位的、被有关部门责令吊销执业资格的。</w:t>
      </w:r>
    </w:p>
    <w:p w14:paraId="67E07C86">
      <w:pPr>
        <w:spacing w:line="360" w:lineRule="auto"/>
        <w:ind w:firstLine="51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除上述特殊情况发生项目负责人更换的，承包人应承担相应的违约责任：</w:t>
      </w:r>
      <w:r>
        <w:rPr>
          <w:rFonts w:hint="eastAsia" w:ascii="宋体" w:hAnsi="宋体" w:eastAsia="宋体" w:cs="宋体"/>
          <w:color w:val="auto"/>
          <w:szCs w:val="21"/>
          <w:highlight w:val="none"/>
          <w:u w:val="single"/>
        </w:rPr>
        <w:t>承包人每次须向发包人支付违约金1万元，违约金从工程竣工结算款中扣除，同时发包人有权解除施工合同。</w:t>
      </w:r>
    </w:p>
    <w:p w14:paraId="54DC0A6D">
      <w:pPr>
        <w:spacing w:line="360" w:lineRule="auto"/>
        <w:ind w:firstLine="51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3.2.4承包人无正当理由拒绝更换项目负责人的违约责任：</w:t>
      </w:r>
      <w:r>
        <w:rPr>
          <w:rFonts w:hint="eastAsia" w:ascii="宋体" w:hAnsi="宋体" w:eastAsia="宋体" w:cs="宋体"/>
          <w:color w:val="auto"/>
          <w:szCs w:val="21"/>
          <w:highlight w:val="none"/>
          <w:u w:val="single"/>
        </w:rPr>
        <w:t>承包人须向发包人支付违约金1万元，违约金从工程款中扣除，同时发包人有权解除合同。发包人有权要求承包人在 7 日内撤换调整其认为不称职的项目经理，新项目经理需经发包人审核同意；项目经理必须采取有效措施保证在整个施工期间施工现场有足够的劳力、材料、设备等的数量、质量满足工程的需要，并不受节假日的影响，否则视为项目经理失职。</w:t>
      </w:r>
    </w:p>
    <w:p w14:paraId="792E895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3.3.1承包人提交项目</w:t>
      </w:r>
      <w:r>
        <w:rPr>
          <w:rFonts w:hint="eastAsia" w:ascii="宋体" w:hAnsi="宋体" w:eastAsia="宋体" w:cs="宋体"/>
          <w:b/>
          <w:color w:val="auto"/>
          <w:highlight w:val="none"/>
        </w:rPr>
        <w:t>项目管理团队</w:t>
      </w:r>
      <w:r>
        <w:rPr>
          <w:rFonts w:hint="eastAsia" w:ascii="宋体" w:hAnsi="宋体" w:eastAsia="宋体" w:cs="宋体"/>
          <w:color w:val="auto"/>
          <w:szCs w:val="21"/>
          <w:highlight w:val="none"/>
        </w:rPr>
        <w:t>安排报告的期限：</w:t>
      </w:r>
      <w:r>
        <w:rPr>
          <w:rFonts w:hint="eastAsia" w:ascii="宋体" w:hAnsi="宋体" w:eastAsia="宋体" w:cs="宋体"/>
          <w:color w:val="auto"/>
          <w:szCs w:val="21"/>
          <w:highlight w:val="none"/>
          <w:u w:val="single"/>
        </w:rPr>
        <w:t>接到开工通知后7天内。</w:t>
      </w:r>
    </w:p>
    <w:p w14:paraId="74D0FB2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3.3.3承包人无正当理由拒绝撤换主要施工管理人员的违约责任：</w:t>
      </w:r>
      <w:r>
        <w:rPr>
          <w:rFonts w:hint="eastAsia" w:ascii="宋体" w:hAnsi="宋体" w:eastAsia="宋体" w:cs="宋体"/>
          <w:color w:val="auto"/>
          <w:szCs w:val="21"/>
          <w:highlight w:val="none"/>
          <w:u w:val="single"/>
        </w:rPr>
        <w:t>发包人有权解除合同，追回已经支付的款项，承包人向发包人按5000元/人支付违约金，违约金从工程款中扣除，同时发包人有权解除合同，并报招标办备案</w:t>
      </w:r>
      <w:r>
        <w:rPr>
          <w:rFonts w:hint="eastAsia" w:ascii="宋体" w:hAnsi="宋体" w:eastAsia="宋体" w:cs="宋体"/>
          <w:color w:val="auto"/>
          <w:szCs w:val="21"/>
          <w:highlight w:val="none"/>
        </w:rPr>
        <w:t>。</w:t>
      </w:r>
    </w:p>
    <w:p w14:paraId="063AC4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3.3.4承包人主要施工管理人员离开施工现场的批准要求：</w:t>
      </w:r>
      <w:r>
        <w:rPr>
          <w:rFonts w:hint="eastAsia" w:ascii="宋体" w:hAnsi="宋体" w:eastAsia="宋体" w:cs="宋体"/>
          <w:color w:val="auto"/>
          <w:szCs w:val="21"/>
          <w:highlight w:val="none"/>
          <w:u w:val="single"/>
        </w:rPr>
        <w:t>合同签订后，项目班子主要成员不到位，则承包人向发包人支付违约金5000元/天·人，监理工程师有权不签发开工令，施工中项目管理部的主要成员离开工地应向发包人代表请假，经过批准后方能离开</w:t>
      </w:r>
      <w:r>
        <w:rPr>
          <w:rFonts w:hint="eastAsia" w:ascii="宋体" w:hAnsi="宋体" w:eastAsia="宋体" w:cs="宋体"/>
          <w:color w:val="auto"/>
          <w:szCs w:val="21"/>
          <w:highlight w:val="none"/>
        </w:rPr>
        <w:t>。</w:t>
      </w:r>
    </w:p>
    <w:p w14:paraId="56A80F6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3.3.5承包人擅自</w:t>
      </w:r>
      <w:r>
        <w:rPr>
          <w:rFonts w:hint="eastAsia" w:ascii="宋体" w:hAnsi="宋体" w:eastAsia="宋体" w:cs="宋体"/>
          <w:bCs/>
          <w:color w:val="auto"/>
          <w:szCs w:val="21"/>
          <w:highlight w:val="none"/>
        </w:rPr>
        <w:t>更换</w:t>
      </w:r>
      <w:r>
        <w:rPr>
          <w:rFonts w:hint="eastAsia" w:ascii="宋体" w:hAnsi="宋体" w:eastAsia="宋体" w:cs="宋体"/>
          <w:color w:val="auto"/>
          <w:szCs w:val="21"/>
          <w:highlight w:val="none"/>
        </w:rPr>
        <w:t>主要施工管理人员的违约责任：</w:t>
      </w:r>
      <w:r>
        <w:rPr>
          <w:rFonts w:hint="eastAsia" w:ascii="宋体" w:hAnsi="宋体" w:eastAsia="宋体" w:cs="宋体"/>
          <w:color w:val="auto"/>
          <w:szCs w:val="21"/>
          <w:highlight w:val="none"/>
          <w:u w:val="single"/>
          <w:lang w:eastAsia="zh-CN"/>
        </w:rPr>
        <w:t>承包人需向发包人支付</w:t>
      </w:r>
      <w:r>
        <w:rPr>
          <w:rFonts w:hint="eastAsia" w:cs="宋体"/>
          <w:color w:val="auto"/>
          <w:szCs w:val="21"/>
          <w:highlight w:val="none"/>
          <w:u w:val="single"/>
          <w:lang w:val="en-US" w:eastAsia="zh-CN"/>
        </w:rPr>
        <w:t>5000</w:t>
      </w:r>
      <w:r>
        <w:rPr>
          <w:rFonts w:hint="eastAsia" w:ascii="宋体" w:hAnsi="宋体" w:eastAsia="宋体" w:cs="宋体"/>
          <w:color w:val="auto"/>
          <w:szCs w:val="21"/>
          <w:highlight w:val="none"/>
          <w:u w:val="single"/>
          <w:lang w:eastAsia="zh-CN"/>
        </w:rPr>
        <w:t>元/人/次的违约金</w:t>
      </w:r>
      <w:r>
        <w:rPr>
          <w:rFonts w:hint="eastAsia" w:cs="宋体"/>
          <w:color w:val="auto"/>
          <w:szCs w:val="21"/>
          <w:highlight w:val="none"/>
          <w:u w:val="single"/>
          <w:lang w:eastAsia="zh-CN"/>
        </w:rPr>
        <w:t>，</w:t>
      </w:r>
      <w:r>
        <w:rPr>
          <w:rFonts w:hint="eastAsia" w:ascii="宋体" w:hAnsi="宋体" w:eastAsia="宋体" w:cs="宋体"/>
          <w:color w:val="auto"/>
          <w:szCs w:val="21"/>
          <w:highlight w:val="none"/>
          <w:u w:val="single"/>
        </w:rPr>
        <w:t>同时要求承包人更换后的主要施工管理人员资质等级、业绩不低于原主要施工管理人员，费用从工程竣工结算款中扣除</w:t>
      </w:r>
      <w:r>
        <w:rPr>
          <w:rFonts w:hint="eastAsia" w:ascii="宋体" w:hAnsi="宋体" w:eastAsia="宋体" w:cs="宋体"/>
          <w:color w:val="auto"/>
          <w:szCs w:val="21"/>
          <w:highlight w:val="none"/>
        </w:rPr>
        <w:t>。</w:t>
      </w:r>
    </w:p>
    <w:p w14:paraId="54F53AE0">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承包人主要施工管理人员擅自</w:t>
      </w:r>
      <w:r>
        <w:rPr>
          <w:rFonts w:hint="eastAsia" w:ascii="宋体" w:hAnsi="宋体" w:eastAsia="宋体" w:cs="宋体"/>
          <w:bCs/>
          <w:color w:val="auto"/>
          <w:szCs w:val="21"/>
          <w:highlight w:val="none"/>
        </w:rPr>
        <w:t>离开</w:t>
      </w:r>
      <w:r>
        <w:rPr>
          <w:rFonts w:hint="eastAsia" w:ascii="宋体" w:hAnsi="宋体" w:eastAsia="宋体" w:cs="宋体"/>
          <w:color w:val="auto"/>
          <w:szCs w:val="21"/>
          <w:highlight w:val="none"/>
        </w:rPr>
        <w:t>施工现场的违约责任：</w:t>
      </w:r>
      <w:r>
        <w:rPr>
          <w:rFonts w:hint="eastAsia" w:ascii="宋体" w:hAnsi="宋体" w:eastAsia="宋体" w:cs="宋体"/>
          <w:color w:val="auto"/>
          <w:szCs w:val="21"/>
          <w:highlight w:val="none"/>
          <w:u w:val="single"/>
        </w:rPr>
        <w:t>项目经理部主要管理人员，未能常驻现场的，发包人按5000元/人·次对承包人进行处罚，费用从工程竣工结算款中扣除。</w:t>
      </w:r>
    </w:p>
    <w:p w14:paraId="32B8EF9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3.5分包</w:t>
      </w:r>
    </w:p>
    <w:p w14:paraId="70F936F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3.5.1分包的一般约定</w:t>
      </w:r>
    </w:p>
    <w:p w14:paraId="07EAE27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禁止分包的工程包括：</w:t>
      </w:r>
      <w:r>
        <w:rPr>
          <w:rFonts w:hint="eastAsia" w:ascii="宋体" w:hAnsi="宋体" w:eastAsia="宋体" w:cs="宋体"/>
          <w:color w:val="auto"/>
          <w:szCs w:val="21"/>
          <w:highlight w:val="none"/>
          <w:u w:val="single"/>
        </w:rPr>
        <w:t>本工程不允许分包</w:t>
      </w:r>
      <w:r>
        <w:rPr>
          <w:rFonts w:hint="eastAsia" w:ascii="宋体" w:hAnsi="宋体" w:eastAsia="宋体" w:cs="宋体"/>
          <w:color w:val="auto"/>
          <w:szCs w:val="21"/>
          <w:highlight w:val="none"/>
        </w:rPr>
        <w:t>。</w:t>
      </w:r>
    </w:p>
    <w:p w14:paraId="6B76188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主体结构、关键性工作的范围：</w:t>
      </w:r>
      <w:r>
        <w:rPr>
          <w:rFonts w:hint="eastAsia" w:ascii="宋体" w:hAnsi="宋体" w:eastAsia="宋体" w:cs="宋体"/>
          <w:color w:val="auto"/>
          <w:szCs w:val="21"/>
          <w:highlight w:val="none"/>
          <w:u w:val="single"/>
        </w:rPr>
        <w:t xml:space="preserve"> / </w:t>
      </w:r>
    </w:p>
    <w:p w14:paraId="18E23EA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3.5.2分包的确定</w:t>
      </w:r>
    </w:p>
    <w:p w14:paraId="611A93C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允许分包的专业工程包括：</w:t>
      </w:r>
      <w:r>
        <w:rPr>
          <w:rFonts w:hint="eastAsia" w:ascii="宋体" w:hAnsi="宋体" w:eastAsia="宋体" w:cs="宋体"/>
          <w:color w:val="auto"/>
          <w:szCs w:val="21"/>
          <w:highlight w:val="none"/>
          <w:u w:val="single"/>
        </w:rPr>
        <w:t>本工程不允许分包</w:t>
      </w:r>
      <w:r>
        <w:rPr>
          <w:rFonts w:hint="eastAsia" w:ascii="宋体" w:hAnsi="宋体" w:eastAsia="宋体" w:cs="宋体"/>
          <w:color w:val="auto"/>
          <w:szCs w:val="21"/>
          <w:highlight w:val="none"/>
        </w:rPr>
        <w:t>。</w:t>
      </w:r>
    </w:p>
    <w:p w14:paraId="44ECBBD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其他关于分包的约定：</w:t>
      </w:r>
      <w:r>
        <w:rPr>
          <w:rFonts w:hint="eastAsia" w:ascii="宋体" w:hAnsi="宋体" w:eastAsia="宋体" w:cs="宋体"/>
          <w:color w:val="auto"/>
          <w:szCs w:val="21"/>
          <w:highlight w:val="none"/>
          <w:u w:val="single"/>
          <w:lang w:eastAsia="zh-CN"/>
        </w:rPr>
        <w:t>一经发现分包，发包方有权解除协议，并要求承包方赔付总合同工程款的 30%的违约金</w:t>
      </w:r>
      <w:r>
        <w:rPr>
          <w:rFonts w:hint="eastAsia" w:ascii="宋体" w:hAnsi="宋体" w:eastAsia="宋体" w:cs="宋体"/>
          <w:color w:val="auto"/>
          <w:szCs w:val="21"/>
          <w:highlight w:val="none"/>
        </w:rPr>
        <w:t>。</w:t>
      </w:r>
    </w:p>
    <w:p w14:paraId="654CE24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3.6工程照管与成品、半成品保护</w:t>
      </w:r>
    </w:p>
    <w:p w14:paraId="3AB77F4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承包人负责照管工程及工程相关的材料、工程设备的起始时间：</w:t>
      </w:r>
      <w:r>
        <w:rPr>
          <w:rFonts w:hint="eastAsia" w:ascii="宋体" w:hAnsi="宋体" w:eastAsia="宋体" w:cs="宋体"/>
          <w:color w:val="auto"/>
          <w:szCs w:val="21"/>
          <w:highlight w:val="none"/>
          <w:u w:val="single"/>
        </w:rPr>
        <w:t>自发包人向承包人移交施工现场之日起</w:t>
      </w:r>
      <w:r>
        <w:rPr>
          <w:rFonts w:hint="eastAsia" w:ascii="宋体" w:hAnsi="宋体" w:eastAsia="宋体" w:cs="宋体"/>
          <w:color w:val="auto"/>
          <w:szCs w:val="21"/>
          <w:highlight w:val="none"/>
        </w:rPr>
        <w:t>。</w:t>
      </w:r>
    </w:p>
    <w:p w14:paraId="3094FC5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3.7 履约担保</w:t>
      </w:r>
    </w:p>
    <w:p w14:paraId="30AFCB4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承包人是否提供履约担保：</w:t>
      </w:r>
      <w:r>
        <w:rPr>
          <w:rFonts w:hint="eastAsia" w:ascii="宋体" w:hAnsi="宋体" w:eastAsia="宋体" w:cs="宋体"/>
          <w:color w:val="auto"/>
          <w:szCs w:val="21"/>
          <w:highlight w:val="none"/>
          <w:u w:val="single"/>
        </w:rPr>
        <w:t xml:space="preserve"> 本项目不收取履约保证金。 </w:t>
      </w:r>
    </w:p>
    <w:p w14:paraId="0048EC1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4.监理人</w:t>
      </w:r>
    </w:p>
    <w:p w14:paraId="52B3FC4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4.1监理人的一般规定</w:t>
      </w:r>
    </w:p>
    <w:p w14:paraId="43C0654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关于监理人的监理内容：</w:t>
      </w:r>
      <w:r>
        <w:rPr>
          <w:rFonts w:hint="eastAsia" w:ascii="宋体" w:hAnsi="宋体" w:eastAsia="宋体" w:cs="宋体"/>
          <w:color w:val="auto"/>
          <w:szCs w:val="21"/>
          <w:highlight w:val="none"/>
          <w:u w:val="single"/>
        </w:rPr>
        <w:t>对本工程施工及保修阶段的进度、质量、投资控制，安全、文明施工、合同、信息管理和组织协调</w:t>
      </w:r>
      <w:r>
        <w:rPr>
          <w:rFonts w:hint="eastAsia" w:ascii="宋体" w:hAnsi="宋体" w:eastAsia="宋体" w:cs="宋体"/>
          <w:color w:val="auto"/>
          <w:szCs w:val="21"/>
          <w:highlight w:val="none"/>
        </w:rPr>
        <w:t>。</w:t>
      </w:r>
    </w:p>
    <w:p w14:paraId="3D3FA0A3">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关于监理人的监理权限：</w:t>
      </w:r>
      <w:r>
        <w:rPr>
          <w:rFonts w:hint="eastAsia" w:ascii="宋体" w:hAnsi="宋体" w:eastAsia="宋体" w:cs="宋体"/>
          <w:color w:val="auto"/>
          <w:szCs w:val="21"/>
          <w:highlight w:val="none"/>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p>
    <w:p w14:paraId="54A210A9">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需要取得发包人批准才能行使的职权：</w:t>
      </w:r>
      <w:r>
        <w:rPr>
          <w:rFonts w:hint="eastAsia" w:ascii="宋体" w:hAnsi="宋体" w:eastAsia="宋体" w:cs="宋体"/>
          <w:color w:val="auto"/>
          <w:szCs w:val="21"/>
          <w:highlight w:val="none"/>
          <w:u w:val="single"/>
        </w:rPr>
        <w:t>⑴批准工程任何部分的发包合同；⑵费用的增加和发包人合同义务的增加；⑶工程的延期；⑷发布变更指令；⑸批准设计变更；⑹发布工程开工令、停工令和复工令，以及单项工程超出三天以上的暂停施工或复工；⑺索赔的支付；⑻工程款支付。</w:t>
      </w:r>
    </w:p>
    <w:p w14:paraId="04A6413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关于监理人在施工现场的办公场所、生活场所的提供和费用承担的约定：</w:t>
      </w:r>
      <w:r>
        <w:rPr>
          <w:rFonts w:hint="eastAsia" w:ascii="宋体" w:hAnsi="宋体" w:eastAsia="宋体" w:cs="宋体"/>
          <w:color w:val="auto"/>
          <w:szCs w:val="21"/>
          <w:highlight w:val="none"/>
          <w:u w:val="single"/>
        </w:rPr>
        <w:t xml:space="preserve"> / </w:t>
      </w:r>
    </w:p>
    <w:p w14:paraId="2809A57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4.2监理人员</w:t>
      </w:r>
    </w:p>
    <w:p w14:paraId="497DA3C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总监理工程师：</w:t>
      </w:r>
    </w:p>
    <w:p w14:paraId="306C8D9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9E934B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3036E1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监理工程师执业资格证书号：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BC3AAC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E0CAFC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112985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0D3127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关于监理人的其他约定：</w:t>
      </w:r>
      <w:r>
        <w:rPr>
          <w:rFonts w:hint="eastAsia"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064E4F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4.4商定或确定</w:t>
      </w:r>
    </w:p>
    <w:p w14:paraId="477F34B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在发包人和承包人不能通过协商达成一致意见时，发包人授权监理人对以下事项进行确定：</w:t>
      </w:r>
    </w:p>
    <w:p w14:paraId="3EFB6B5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917F56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5.工程质量</w:t>
      </w:r>
    </w:p>
    <w:p w14:paraId="2242F0F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质量要求</w:t>
      </w:r>
    </w:p>
    <w:p w14:paraId="3CEEEDD1">
      <w:pPr>
        <w:spacing w:line="360" w:lineRule="auto"/>
        <w:ind w:firstLine="550"/>
        <w:rPr>
          <w:rFonts w:hint="eastAsia" w:ascii="宋体" w:hAnsi="宋体" w:eastAsia="宋体" w:cs="宋体"/>
          <w:color w:val="auto"/>
          <w:sz w:val="24"/>
          <w:highlight w:val="none"/>
          <w:u w:val="single"/>
        </w:rPr>
      </w:pPr>
      <w:r>
        <w:rPr>
          <w:rFonts w:hint="eastAsia" w:ascii="宋体" w:hAnsi="宋体" w:eastAsia="宋体" w:cs="宋体"/>
          <w:color w:val="auto"/>
          <w:szCs w:val="21"/>
          <w:highlight w:val="none"/>
        </w:rPr>
        <w:t>5.1.1 特殊质量标准和要求：</w:t>
      </w:r>
      <w:r>
        <w:rPr>
          <w:rFonts w:hint="eastAsia" w:ascii="宋体" w:hAnsi="宋体" w:eastAsia="宋体" w:cs="宋体"/>
          <w:color w:val="auto"/>
          <w:szCs w:val="21"/>
          <w:highlight w:val="none"/>
          <w:u w:val="single"/>
        </w:rPr>
        <w:t>工程质量必须达到合格标准等级。</w:t>
      </w:r>
    </w:p>
    <w:p w14:paraId="75406C40">
      <w:pPr>
        <w:spacing w:line="360" w:lineRule="auto"/>
        <w:ind w:firstLine="5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关于工程奖项的约定：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p>
    <w:p w14:paraId="7361837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 隐蔽工程检查</w:t>
      </w:r>
    </w:p>
    <w:p w14:paraId="29A189C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隐蔽工程验收记录必须经发包人、承包人和监理工程师签字确认，且详细记录该分部分项工程施工工艺、所用的材料质量以及相关的工程量，工程结算审计时提供审计备查。</w:t>
      </w:r>
    </w:p>
    <w:p w14:paraId="20AB8B5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监理人不能按时进行检查时，应提前 24 小时提交书面延期要求。</w:t>
      </w:r>
    </w:p>
    <w:p w14:paraId="1FE375E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 xml:space="preserve"> 48 </w:t>
      </w:r>
      <w:r>
        <w:rPr>
          <w:rFonts w:hint="eastAsia" w:ascii="宋体" w:hAnsi="宋体" w:eastAsia="宋体" w:cs="宋体"/>
          <w:color w:val="auto"/>
          <w:szCs w:val="21"/>
          <w:highlight w:val="none"/>
        </w:rPr>
        <w:t>小时。</w:t>
      </w:r>
    </w:p>
    <w:p w14:paraId="47D0502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6.安全文明施工与环境保护</w:t>
      </w:r>
    </w:p>
    <w:p w14:paraId="3C11A04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6.1安全文明施工</w:t>
      </w:r>
    </w:p>
    <w:p w14:paraId="0129364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6.1.1项目安全生产的达标目标及相应事项的约定：</w:t>
      </w:r>
    </w:p>
    <w:p w14:paraId="02CA07EB">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发包人及建设主管单位将对施工现场进行周期性检查，该检查应不影响正常施工，承包人应予以配合。</w:t>
      </w:r>
    </w:p>
    <w:p w14:paraId="35E1B526">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p>
    <w:p w14:paraId="78A2E850">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6.1.4关于治安保卫的特别约定：</w:t>
      </w:r>
      <w:r>
        <w:rPr>
          <w:rFonts w:hint="eastAsia" w:ascii="宋体" w:hAnsi="宋体" w:eastAsia="宋体" w:cs="宋体"/>
          <w:color w:val="auto"/>
          <w:szCs w:val="21"/>
          <w:highlight w:val="none"/>
          <w:u w:val="single"/>
        </w:rPr>
        <w:t>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p>
    <w:p w14:paraId="21568348">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关于编制施工场地治安管理计划的约定：</w:t>
      </w:r>
      <w:r>
        <w:rPr>
          <w:rFonts w:hint="eastAsia" w:ascii="宋体" w:hAnsi="宋体" w:eastAsia="宋体" w:cs="宋体"/>
          <w:color w:val="auto"/>
          <w:szCs w:val="21"/>
          <w:highlight w:val="none"/>
          <w:u w:val="single"/>
        </w:rPr>
        <w:t>为保护本工程免遭损坏，或为现场附近和过往人群的安全与方便，在确有必要的时候和地方，当监理工程师或有关主管部门要求时，承包人应提供照明、警卫、</w:t>
      </w:r>
      <w:r>
        <w:rPr>
          <w:rFonts w:hint="eastAsia" w:cs="宋体"/>
          <w:color w:val="auto"/>
          <w:szCs w:val="21"/>
          <w:highlight w:val="none"/>
          <w:u w:val="single"/>
          <w:lang w:eastAsia="zh-CN"/>
        </w:rPr>
        <w:t>护栏</w:t>
      </w:r>
      <w:r>
        <w:rPr>
          <w:rFonts w:hint="eastAsia" w:ascii="宋体" w:hAnsi="宋体" w:eastAsia="宋体" w:cs="宋体"/>
          <w:color w:val="auto"/>
          <w:szCs w:val="21"/>
          <w:highlight w:val="none"/>
          <w:u w:val="single"/>
        </w:rPr>
        <w:t>、警告标志等安全防护措施，非施工人员不得进入现场。</w:t>
      </w:r>
    </w:p>
    <w:p w14:paraId="3D8159E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承包人应对其在施工场地的工作人员进行治安管理教育，制定相应管理制度，并对他们的安全负责。 </w:t>
      </w:r>
    </w:p>
    <w:p w14:paraId="6186BD1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6.1.5文明施工</w:t>
      </w:r>
    </w:p>
    <w:p w14:paraId="1976C929">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合同当事人对文明施工的要求：</w:t>
      </w:r>
      <w:r>
        <w:rPr>
          <w:rFonts w:hint="eastAsia" w:ascii="宋体" w:hAnsi="宋体" w:eastAsia="宋体" w:cs="宋体"/>
          <w:color w:val="auto"/>
          <w:szCs w:val="21"/>
          <w:highlight w:val="none"/>
          <w:u w:val="single"/>
        </w:rPr>
        <w:t>保持场地整洁卫生，因为违纪行为发生的清理处罚费用由承包人承担，保证工完料清，并保证工地周围环境整洁，同时遵守发包人的其他有关管理要求。费用包含在合同总价中 。</w:t>
      </w:r>
    </w:p>
    <w:p w14:paraId="7018F5A2">
      <w:pPr>
        <w:spacing w:line="360" w:lineRule="auto"/>
        <w:ind w:firstLine="44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承包人要制定生活和环境卫生管理制度，要搞好职工宿舍卫生和食堂的饮食卫生，并做好厕所保洁工作。临时搭建须经发包人批准，且应整齐美观。</w:t>
      </w:r>
    </w:p>
    <w:p w14:paraId="7DA65B9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6.1.6关于安全文明施工费支付比例和支付期限的约定：</w:t>
      </w:r>
      <w:r>
        <w:rPr>
          <w:rFonts w:hint="eastAsia" w:ascii="宋体" w:hAnsi="宋体" w:eastAsia="宋体" w:cs="宋体"/>
          <w:color w:val="auto"/>
          <w:szCs w:val="21"/>
          <w:highlight w:val="none"/>
          <w:u w:val="single"/>
        </w:rPr>
        <w:t>现场安全文明施工措施费按照连建管【2025】40号文执行。</w:t>
      </w:r>
    </w:p>
    <w:p w14:paraId="359C263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7.工期和进度</w:t>
      </w:r>
    </w:p>
    <w:p w14:paraId="0D1CA02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7.1施工组织设计</w:t>
      </w:r>
    </w:p>
    <w:p w14:paraId="2A91491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7.1.1合同当事人约定的施工组织设计应包括的其他内容：</w:t>
      </w:r>
    </w:p>
    <w:p w14:paraId="45BF13FB">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（1）总体概述：施工组织总体设想、方案针对性及施工段划分；</w:t>
      </w:r>
    </w:p>
    <w:p w14:paraId="3A4588D6">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（2）施工现场平面布置和临时设施、临时道路布置；</w:t>
      </w:r>
    </w:p>
    <w:p w14:paraId="6DF4ABB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（3）施工进度计划和各阶段进度的保证措施；</w:t>
      </w:r>
    </w:p>
    <w:p w14:paraId="044854C1">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（4）劳动力、机械设备和材料投入计划；</w:t>
      </w:r>
    </w:p>
    <w:p w14:paraId="0813F388">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（5）关键施工技术、工艺及工程项目实施的重点、难点和解决方案；</w:t>
      </w:r>
    </w:p>
    <w:p w14:paraId="7967A2A7">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投标人应保证一旦中标，在施工组织设计中列明的人员应确保参加工程的实施，列明的机具应保证工程随时调用，否则承担违约责任。</w:t>
      </w:r>
    </w:p>
    <w:p w14:paraId="51921F5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7.1.2施工组织设计的提交和修改</w:t>
      </w:r>
    </w:p>
    <w:p w14:paraId="2F4F2870">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承包人提交详细施工组织设计的期限的约定：</w:t>
      </w:r>
      <w:r>
        <w:rPr>
          <w:rFonts w:hint="eastAsia" w:ascii="宋体" w:hAnsi="宋体" w:eastAsia="宋体" w:cs="宋体"/>
          <w:color w:val="auto"/>
          <w:szCs w:val="21"/>
          <w:highlight w:val="none"/>
          <w:u w:val="single"/>
        </w:rPr>
        <w:t>承包人在合同</w:t>
      </w:r>
      <w:r>
        <w:rPr>
          <w:rFonts w:hint="eastAsia" w:cs="宋体"/>
          <w:color w:val="auto"/>
          <w:szCs w:val="21"/>
          <w:highlight w:val="none"/>
          <w:u w:val="single"/>
          <w:lang w:eastAsia="zh-CN"/>
        </w:rPr>
        <w:t>签订</w:t>
      </w:r>
      <w:r>
        <w:rPr>
          <w:rFonts w:hint="eastAsia" w:ascii="宋体" w:hAnsi="宋体" w:eastAsia="宋体" w:cs="宋体"/>
          <w:color w:val="auto"/>
          <w:szCs w:val="21"/>
          <w:highlight w:val="none"/>
          <w:u w:val="single"/>
        </w:rPr>
        <w:t>后14天内，且不得迟于开工前7天。</w:t>
      </w:r>
    </w:p>
    <w:p w14:paraId="7362712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发包人和监理人在收到详细的施工组织设计后确认或提出修改意见的期限：</w:t>
      </w:r>
      <w:r>
        <w:rPr>
          <w:rFonts w:hint="eastAsia" w:ascii="宋体" w:hAnsi="宋体" w:eastAsia="宋体" w:cs="宋体"/>
          <w:color w:val="auto"/>
          <w:szCs w:val="21"/>
          <w:highlight w:val="none"/>
          <w:u w:val="single"/>
        </w:rPr>
        <w:t xml:space="preserve"> 收到施工组织设计后7日内。</w:t>
      </w:r>
    </w:p>
    <w:p w14:paraId="26115F2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7.2施工进度计划</w:t>
      </w:r>
    </w:p>
    <w:p w14:paraId="15C24EF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7.2.1</w:t>
      </w:r>
      <w:r>
        <w:rPr>
          <w:rFonts w:hint="eastAsia" w:ascii="宋体" w:hAnsi="宋体" w:eastAsia="宋体" w:cs="宋体"/>
          <w:color w:val="auto"/>
          <w:szCs w:val="21"/>
          <w:highlight w:val="none"/>
          <w:u w:val="single"/>
        </w:rPr>
        <w:t>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p>
    <w:p w14:paraId="7C629DD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7.2.2施工进度计划的修订</w:t>
      </w:r>
    </w:p>
    <w:p w14:paraId="263E89A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发包人和监理人在收到修订的施工进度计划后确认或提出修改意见的期限：</w:t>
      </w:r>
      <w:r>
        <w:rPr>
          <w:rFonts w:hint="eastAsia" w:ascii="宋体" w:hAnsi="宋体" w:eastAsia="宋体" w:cs="宋体"/>
          <w:color w:val="auto"/>
          <w:szCs w:val="21"/>
          <w:highlight w:val="none"/>
          <w:u w:val="single"/>
        </w:rPr>
        <w:t xml:space="preserve">提供后7日内 </w:t>
      </w:r>
    </w:p>
    <w:p w14:paraId="6A56F91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7.3开工</w:t>
      </w:r>
    </w:p>
    <w:p w14:paraId="60A364E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7.3.1开工准备</w:t>
      </w:r>
    </w:p>
    <w:p w14:paraId="2FDB28A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关于承包人提交工程开工报审表的期限：</w:t>
      </w:r>
      <w:r>
        <w:rPr>
          <w:rFonts w:hint="eastAsia" w:ascii="宋体" w:hAnsi="宋体" w:eastAsia="宋体" w:cs="宋体"/>
          <w:color w:val="auto"/>
          <w:szCs w:val="21"/>
          <w:highlight w:val="none"/>
          <w:u w:val="single"/>
        </w:rPr>
        <w:t xml:space="preserve"> 按通用条款执行 </w:t>
      </w:r>
    </w:p>
    <w:p w14:paraId="2982A87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关于发包人应完成的其他开工准备工作及期限：</w:t>
      </w:r>
      <w:r>
        <w:rPr>
          <w:rFonts w:hint="eastAsia" w:ascii="宋体" w:hAnsi="宋体" w:eastAsia="宋体" w:cs="宋体"/>
          <w:color w:val="auto"/>
          <w:szCs w:val="21"/>
          <w:highlight w:val="none"/>
          <w:u w:val="single"/>
        </w:rPr>
        <w:t xml:space="preserve">无 </w:t>
      </w:r>
    </w:p>
    <w:p w14:paraId="7EC83A7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关于承包人应完成的其他开工准备工作及期限：</w:t>
      </w:r>
      <w:r>
        <w:rPr>
          <w:rFonts w:hint="eastAsia" w:ascii="宋体" w:hAnsi="宋体" w:eastAsia="宋体" w:cs="宋体"/>
          <w:color w:val="auto"/>
          <w:szCs w:val="21"/>
          <w:highlight w:val="none"/>
          <w:u w:val="single"/>
        </w:rPr>
        <w:t>无</w:t>
      </w:r>
    </w:p>
    <w:p w14:paraId="33E04A2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7.3.2开工通知</w:t>
      </w:r>
    </w:p>
    <w:p w14:paraId="5D1B672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因发包人原因造成监理人未能在计划开工日期之日起</w:t>
      </w:r>
      <w:r>
        <w:rPr>
          <w:rFonts w:hint="eastAsia" w:ascii="宋体" w:hAnsi="宋体" w:eastAsia="宋体" w:cs="宋体"/>
          <w:color w:val="auto"/>
          <w:szCs w:val="21"/>
          <w:highlight w:val="none"/>
          <w:u w:val="single"/>
        </w:rPr>
        <w:t xml:space="preserve"> 90 </w:t>
      </w:r>
      <w:r>
        <w:rPr>
          <w:rFonts w:hint="eastAsia" w:ascii="宋体" w:hAnsi="宋体" w:eastAsia="宋体" w:cs="宋体"/>
          <w:color w:val="auto"/>
          <w:szCs w:val="21"/>
          <w:highlight w:val="none"/>
        </w:rPr>
        <w:t>天内发出开工通知的，承包人有权提出价格调整要求，或者解除合同。</w:t>
      </w:r>
    </w:p>
    <w:p w14:paraId="008335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7.4测量放线</w:t>
      </w:r>
    </w:p>
    <w:p w14:paraId="68BB6C50">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7.4.1发包人通过监理人向承包人提供测量基准点、基准线和水准点及其书面资料的期限：</w:t>
      </w:r>
      <w:r>
        <w:rPr>
          <w:rFonts w:hint="eastAsia" w:ascii="宋体" w:hAnsi="宋体" w:eastAsia="宋体" w:cs="宋体"/>
          <w:color w:val="auto"/>
          <w:szCs w:val="21"/>
          <w:highlight w:val="none"/>
          <w:u w:val="single"/>
        </w:rPr>
        <w:t>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p>
    <w:p w14:paraId="1EAC812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承包人负责做好保护工作并对其工作失误而造成的事故负赔偿责任</w:t>
      </w:r>
      <w:r>
        <w:rPr>
          <w:rFonts w:hint="eastAsia" w:ascii="宋体" w:hAnsi="宋体" w:eastAsia="宋体" w:cs="宋体"/>
          <w:color w:val="auto"/>
          <w:szCs w:val="21"/>
          <w:highlight w:val="none"/>
        </w:rPr>
        <w:t>。</w:t>
      </w:r>
    </w:p>
    <w:p w14:paraId="1D7B9D1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7.5工期延误</w:t>
      </w:r>
    </w:p>
    <w:p w14:paraId="2878018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7.5.1因发包人原因导致工期延误</w:t>
      </w:r>
    </w:p>
    <w:p w14:paraId="5CB2430A">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(7)因发包人原因导致工期延误的其他情形：</w:t>
      </w:r>
      <w:r>
        <w:rPr>
          <w:rFonts w:hint="eastAsia" w:ascii="宋体" w:hAnsi="宋体" w:eastAsia="宋体" w:cs="宋体"/>
          <w:color w:val="auto"/>
          <w:szCs w:val="21"/>
          <w:highlight w:val="none"/>
          <w:u w:val="single"/>
        </w:rPr>
        <w:t xml:space="preserve"> / </w:t>
      </w:r>
    </w:p>
    <w:p w14:paraId="7291814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7.5.2因承包人原因导致工期延误</w:t>
      </w:r>
    </w:p>
    <w:p w14:paraId="4AEA1C0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因承包人原因造成工期延误，逾期竣工违约金的计算方法为：</w:t>
      </w:r>
    </w:p>
    <w:p w14:paraId="7864D3D5">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因承包人原因不能按照协议书约定的竣工日期或工程师同意顺延的工期竣工的，承包人承担违约责任。</w:t>
      </w:r>
    </w:p>
    <w:p w14:paraId="2AA1AC0F">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p>
    <w:p w14:paraId="4890759D">
      <w:pPr>
        <w:spacing w:line="360" w:lineRule="auto"/>
        <w:ind w:firstLine="44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p>
    <w:p w14:paraId="4E1458F6">
      <w:pPr>
        <w:spacing w:line="360" w:lineRule="auto"/>
        <w:ind w:firstLine="44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因承包人原因造成工期延误，逾期竣工违约金的上限：合同价10%。</w:t>
      </w:r>
    </w:p>
    <w:p w14:paraId="54BA9D63">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承包人支付逾期竣工违约金后，不免除承包人继续完成工程及修补缺陷的义务。</w:t>
      </w:r>
    </w:p>
    <w:p w14:paraId="5DC5D5F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7.6不利物质条件</w:t>
      </w:r>
    </w:p>
    <w:p w14:paraId="73BB008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不利物质条件的其他情形和有关约定：</w:t>
      </w:r>
      <w:r>
        <w:rPr>
          <w:rFonts w:hint="eastAsia" w:ascii="宋体" w:hAnsi="宋体" w:eastAsia="宋体" w:cs="宋体"/>
          <w:color w:val="auto"/>
          <w:szCs w:val="21"/>
          <w:highlight w:val="none"/>
          <w:u w:val="single"/>
        </w:rPr>
        <w:t>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eastAsia="宋体" w:cs="宋体"/>
          <w:color w:val="auto"/>
          <w:szCs w:val="21"/>
          <w:highlight w:val="none"/>
        </w:rPr>
        <w:t>。</w:t>
      </w:r>
    </w:p>
    <w:p w14:paraId="3E2F925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7.9提前竣工的奖励</w:t>
      </w:r>
    </w:p>
    <w:p w14:paraId="2145FD5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7.9.2提前竣工的奖励：</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0F5E116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8.材料与设备</w:t>
      </w:r>
    </w:p>
    <w:p w14:paraId="226227A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8.4材料与工程设备的保管与使用</w:t>
      </w:r>
    </w:p>
    <w:p w14:paraId="5FA323E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8.4.1发包人供应的材料设备的保管费用的承担：</w:t>
      </w:r>
      <w:r>
        <w:rPr>
          <w:rFonts w:hint="eastAsia" w:ascii="宋体" w:hAnsi="宋体" w:eastAsia="宋体" w:cs="宋体"/>
          <w:color w:val="auto"/>
          <w:szCs w:val="21"/>
          <w:highlight w:val="none"/>
          <w:u w:val="single"/>
        </w:rPr>
        <w:t>甲供材料（如有）的堆放和保管由承包人负责，材料运到现场后的保管及安装过程中的损耗由承包人负责，相关费用已包含在签约合同价中</w:t>
      </w:r>
      <w:r>
        <w:rPr>
          <w:rFonts w:hint="eastAsia" w:ascii="宋体" w:hAnsi="宋体" w:eastAsia="宋体" w:cs="宋体"/>
          <w:color w:val="auto"/>
          <w:szCs w:val="21"/>
          <w:highlight w:val="none"/>
        </w:rPr>
        <w:t>。</w:t>
      </w:r>
    </w:p>
    <w:p w14:paraId="03CF3C1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8.6样品</w:t>
      </w:r>
    </w:p>
    <w:p w14:paraId="00B6944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8.6.1样品的报送与封存</w:t>
      </w:r>
    </w:p>
    <w:p w14:paraId="16E2BE6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需要承包人报送样品的材料或工程设备，样品的种类、名称、规格、数量要求：</w:t>
      </w:r>
    </w:p>
    <w:p w14:paraId="392F577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按业主需求确定，费用包含在签约合同价中。 </w:t>
      </w:r>
    </w:p>
    <w:p w14:paraId="46AAC52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8.8施工设备和临时设施</w:t>
      </w:r>
    </w:p>
    <w:p w14:paraId="18F14CF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8.8.1承包人提供的施工设备和临时设施</w:t>
      </w:r>
    </w:p>
    <w:p w14:paraId="7797827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关于修建临时设施费用承担的约定：</w:t>
      </w:r>
      <w:r>
        <w:rPr>
          <w:rFonts w:hint="eastAsia" w:ascii="宋体" w:hAnsi="宋体" w:eastAsia="宋体" w:cs="宋体"/>
          <w:color w:val="auto"/>
          <w:szCs w:val="21"/>
          <w:highlight w:val="none"/>
          <w:u w:val="single"/>
        </w:rPr>
        <w:t>承包人负责施工临时设施、环保及环卫的相关手续，由承包人办理报批手续，并承担与之相关费用。</w:t>
      </w:r>
    </w:p>
    <w:p w14:paraId="5CF8FF0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9.试验与检验：/</w:t>
      </w:r>
    </w:p>
    <w:p w14:paraId="13AB296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9.4现场工艺试验</w:t>
      </w:r>
    </w:p>
    <w:p w14:paraId="662ED56C">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现场工艺试验的有关约定：</w:t>
      </w:r>
      <w:r>
        <w:rPr>
          <w:rFonts w:hint="eastAsia" w:ascii="宋体" w:hAnsi="宋体" w:eastAsia="宋体" w:cs="宋体"/>
          <w:color w:val="auto"/>
          <w:szCs w:val="21"/>
          <w:highlight w:val="none"/>
          <w:u w:val="single"/>
        </w:rPr>
        <w:t>根据现场实际施工需求</w:t>
      </w:r>
    </w:p>
    <w:p w14:paraId="24BC77F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10.变更</w:t>
      </w:r>
    </w:p>
    <w:p w14:paraId="14C0A01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10.1变更的范围</w:t>
      </w:r>
    </w:p>
    <w:p w14:paraId="5AE698E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关于变更的范围的约定：</w:t>
      </w:r>
      <w:r>
        <w:rPr>
          <w:rFonts w:hint="eastAsia" w:ascii="宋体" w:hAnsi="宋体" w:eastAsia="宋体" w:cs="宋体"/>
          <w:color w:val="auto"/>
          <w:szCs w:val="21"/>
          <w:highlight w:val="none"/>
          <w:u w:val="single"/>
        </w:rPr>
        <w:t>工程中所有的变更，都必须表达清晰，变更内容应详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前必须由承包人向监理单位和发包人工程师报告；对涉及工程质量、进度的签证，经发包人工程师及负责人签认同意后实施。</w:t>
      </w:r>
      <w:r>
        <w:rPr>
          <w:rFonts w:hint="eastAsia" w:eastAsia="宋体"/>
          <w:color w:val="auto"/>
          <w:spacing w:val="3"/>
          <w:szCs w:val="24"/>
          <w:highlight w:val="none"/>
          <w:u w:val="single"/>
          <w:lang w:eastAsia="zh-CN" w:bidi="ar"/>
        </w:rPr>
        <w:t>后期</w:t>
      </w:r>
      <w:r>
        <w:rPr>
          <w:rFonts w:hint="eastAsia" w:eastAsia="宋体"/>
          <w:color w:val="auto"/>
          <w:spacing w:val="1"/>
          <w:szCs w:val="24"/>
          <w:highlight w:val="none"/>
          <w:u w:val="single"/>
          <w:lang w:eastAsia="zh-CN" w:bidi="ar"/>
        </w:rPr>
        <w:t>结算单价按投标报价与</w:t>
      </w:r>
      <w:r>
        <w:rPr>
          <w:rFonts w:hint="eastAsia" w:eastAsia="宋体"/>
          <w:color w:val="auto"/>
          <w:spacing w:val="1"/>
          <w:szCs w:val="24"/>
          <w:highlight w:val="none"/>
          <w:u w:val="single"/>
          <w:lang w:val="en-US" w:eastAsia="zh-CN" w:bidi="ar"/>
        </w:rPr>
        <w:t>最高投标限价</w:t>
      </w:r>
      <w:r>
        <w:rPr>
          <w:rFonts w:hint="eastAsia" w:eastAsia="宋体"/>
          <w:color w:val="auto"/>
          <w:spacing w:val="1"/>
          <w:szCs w:val="24"/>
          <w:highlight w:val="none"/>
          <w:u w:val="single"/>
          <w:lang w:eastAsia="zh-CN" w:bidi="ar"/>
        </w:rPr>
        <w:t>的下浮率下浮。</w:t>
      </w:r>
    </w:p>
    <w:p w14:paraId="744020E3">
      <w:pPr>
        <w:spacing w:line="360" w:lineRule="auto"/>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10.4变更估价</w:t>
      </w:r>
    </w:p>
    <w:p w14:paraId="4E956F92">
      <w:pPr>
        <w:keepNext w:val="0"/>
        <w:keepLines w:val="0"/>
        <w:widowControl w:val="0"/>
        <w:suppressLineNumbers w:val="0"/>
        <w:spacing w:before="0" w:beforeAutospacing="0" w:after="0" w:afterAutospacing="0" w:line="360" w:lineRule="auto"/>
        <w:ind w:left="0" w:right="0" w:firstLine="44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
        </w:rPr>
        <w:t>10.4.1变更估价原则</w:t>
      </w:r>
    </w:p>
    <w:p w14:paraId="12B2A893">
      <w:pPr>
        <w:keepNext w:val="0"/>
        <w:keepLines w:val="0"/>
        <w:widowControl w:val="0"/>
        <w:suppressLineNumbers w:val="0"/>
        <w:spacing w:before="0" w:beforeAutospacing="0" w:after="0" w:afterAutospacing="0" w:line="360" w:lineRule="auto"/>
        <w:ind w:left="0"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val="en-US" w:eastAsia="zh-CN" w:bidi="ar"/>
        </w:rPr>
        <w:t>关于变更估价的约定：</w:t>
      </w:r>
    </w:p>
    <w:p w14:paraId="7031676E">
      <w:pPr>
        <w:keepNext w:val="0"/>
        <w:keepLines w:val="0"/>
        <w:widowControl w:val="0"/>
        <w:numPr>
          <w:ilvl w:val="0"/>
          <w:numId w:val="1"/>
        </w:numPr>
        <w:suppressLineNumbers w:val="0"/>
        <w:spacing w:before="0" w:beforeAutospacing="0" w:after="0" w:afterAutospacing="0" w:line="360" w:lineRule="auto"/>
        <w:ind w:left="0"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val="en-US" w:eastAsia="zh-CN" w:bidi="ar"/>
        </w:rPr>
        <w:t>、</w:t>
      </w:r>
      <w:r>
        <w:rPr>
          <w:rFonts w:hint="eastAsia" w:ascii="宋体" w:hAnsi="宋体" w:eastAsia="宋体" w:cs="宋体"/>
          <w:color w:val="auto"/>
          <w:sz w:val="22"/>
          <w:szCs w:val="22"/>
          <w:highlight w:val="none"/>
          <w:u w:val="single"/>
          <w:lang w:val="en-US" w:eastAsia="zh-CN" w:bidi="ar"/>
        </w:rPr>
        <w:t>已标价工程量清单中有适用单价于工程变更项目的，应采用该项目的单价；当工程量增加15%以上时，增加部分的工程量的综合单价应按投标报价予以调低10%；当工程量减少15%以上时，综合单价不变。</w:t>
      </w:r>
    </w:p>
    <w:p w14:paraId="6419D90A">
      <w:pPr>
        <w:pStyle w:val="37"/>
        <w:keepNext w:val="0"/>
        <w:keepLines w:val="0"/>
        <w:widowControl/>
        <w:numPr>
          <w:ilvl w:val="0"/>
          <w:numId w:val="1"/>
        </w:numPr>
        <w:suppressLineNumbers w:val="0"/>
        <w:spacing w:before="0" w:beforeAutospacing="0" w:after="0" w:afterAutospacing="0" w:line="360" w:lineRule="auto"/>
        <w:ind w:left="0"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val="en-US" w:eastAsia="zh-CN" w:bidi="ar"/>
        </w:rPr>
        <w:t>、</w:t>
      </w:r>
      <w:r>
        <w:rPr>
          <w:rFonts w:hint="eastAsia" w:ascii="宋体" w:hAnsi="宋体" w:eastAsia="宋体" w:cs="宋体"/>
          <w:color w:val="auto"/>
          <w:sz w:val="22"/>
          <w:szCs w:val="22"/>
          <w:highlight w:val="none"/>
          <w:u w:val="single"/>
          <w:lang w:val="en-US" w:eastAsia="zh-CN" w:bidi="ar"/>
        </w:rPr>
        <w:t>招标文件中的工程量清单标明的工程量是投标人投标报价的基础，竣工结算的工程量按发承包双方在合同中约定应予计量且实际完成工程量确定。工程计量时发现清单中漏项、工程量计算偏差，以及工程变更引起工程量的增减，应按承包人在履行合同义务中实际完成量进行及时计量。若施工中出现施工图纸（含设计变更）与工程量清单项目特征描述不符，应及时上报招标人，按照招标人确认的最终方案进行施工。</w:t>
      </w:r>
    </w:p>
    <w:p w14:paraId="43BB46A2">
      <w:pPr>
        <w:pStyle w:val="37"/>
        <w:keepNext w:val="0"/>
        <w:keepLines w:val="0"/>
        <w:widowControl/>
        <w:numPr>
          <w:ilvl w:val="0"/>
          <w:numId w:val="1"/>
        </w:numPr>
        <w:suppressLineNumbers w:val="0"/>
        <w:spacing w:before="0" w:beforeAutospacing="0" w:after="0" w:afterAutospacing="0" w:line="360" w:lineRule="auto"/>
        <w:ind w:left="0"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、因分部分项工程量清单漏项、项目特征不符或非承包人原因的工程变更，造成增加新的工程量清单项目，其对应的综合单价按下列方法确定：</w:t>
      </w:r>
    </w:p>
    <w:p w14:paraId="5D3E29B6">
      <w:pPr>
        <w:pStyle w:val="37"/>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(3.1)、已标价工程量清单中有适用于工程变更项目的，应采用该项目的单价；</w:t>
      </w:r>
    </w:p>
    <w:p w14:paraId="25DADE2F">
      <w:pPr>
        <w:pStyle w:val="37"/>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(3.2)、已标价工程量清单中没有适用但有类似于工程变更项目的，可在合理范围内参照类似项目的单价；</w:t>
      </w:r>
    </w:p>
    <w:p w14:paraId="245D5079">
      <w:pPr>
        <w:pStyle w:val="37"/>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(3.3)、已标价工程量清单中没有适用也没有类似于变更工程项目的，应由承包人根据变更工程资料、计量规则和计价办法、工程造价管理机构发布的信息价格和承包人报价浮动率提出变更工程项目的单价，并应报发包人确后调整。承包人报价浮动率按照以下公式计算：承包人报价浮动率=（1-中标价/招标控制价）*100%；</w:t>
      </w:r>
    </w:p>
    <w:p w14:paraId="7F5B42D1">
      <w:pPr>
        <w:pStyle w:val="37"/>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(3.4)、已标价工程量清单中没有适用也没有类似于变更工程项目的，且工程造价管理机构发布信息价缺价的，应有承包人根据变更工程资料、计量规则、计价办法和通过市场调查等取得合法依据的市场价格提出变更工程项目的单价，并应报发包人确认后调整。</w:t>
      </w:r>
    </w:p>
    <w:p w14:paraId="3464A135">
      <w:pPr>
        <w:pStyle w:val="37"/>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(3.5)、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p>
    <w:p w14:paraId="0CEB21E5">
      <w:pPr>
        <w:pStyle w:val="37"/>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① 安全文明施工费应按照连建管【2025】40号文执行；</w:t>
      </w:r>
    </w:p>
    <w:p w14:paraId="6965A6B3">
      <w:pPr>
        <w:pStyle w:val="37"/>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② 采用单价计算的措施项目费，按照实际发生变化措施项目，按照上述（3.1）、（3.2）、（3.3）、（3.4）条确定单价，工程量按实计算；</w:t>
      </w:r>
    </w:p>
    <w:p w14:paraId="659BB878">
      <w:pPr>
        <w:pStyle w:val="37"/>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③ 按总价计算的措施项目费，以项为单位的包干使用；</w:t>
      </w:r>
    </w:p>
    <w:p w14:paraId="78038B97">
      <w:pPr>
        <w:pStyle w:val="37"/>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④ 采用费率计算的措施项目费，以原计算基数按实调整。</w:t>
      </w:r>
    </w:p>
    <w:p w14:paraId="56996988">
      <w:pPr>
        <w:pStyle w:val="37"/>
        <w:keepNext w:val="0"/>
        <w:keepLines w:val="0"/>
        <w:widowControl/>
        <w:suppressLineNumbers w:val="0"/>
        <w:spacing w:before="0" w:beforeAutospacing="0" w:after="0" w:afterAutospacing="0" w:line="360" w:lineRule="auto"/>
        <w:ind w:right="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如果承包人未事先将拟实施方案提交给发包人确认，则应视为工程变更不引起措施项目费的调整或承包人放弃调整措施项目费的权利。</w:t>
      </w:r>
    </w:p>
    <w:p w14:paraId="3042A370">
      <w:pPr>
        <w:pStyle w:val="37"/>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lang w:val="en-US" w:eastAsia="zh-CN" w:bidi="ar"/>
        </w:rPr>
      </w:pPr>
      <w:r>
        <w:rPr>
          <w:rFonts w:hint="eastAsia" w:ascii="宋体" w:hAnsi="宋体" w:eastAsia="宋体" w:cs="宋体"/>
          <w:color w:val="auto"/>
          <w:sz w:val="22"/>
          <w:szCs w:val="22"/>
          <w:highlight w:val="none"/>
          <w:u w:val="single"/>
          <w:lang w:val="en-US" w:eastAsia="zh-CN" w:bidi="ar"/>
        </w:rPr>
        <w:t>(4)、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p>
    <w:p w14:paraId="738B54B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10.5承包人的合理化建议</w:t>
      </w:r>
    </w:p>
    <w:p w14:paraId="306D486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监理人审查承包人合理化建议的期限：</w:t>
      </w:r>
      <w:r>
        <w:rPr>
          <w:rFonts w:hint="eastAsia" w:ascii="宋体" w:hAnsi="宋体" w:eastAsia="宋体" w:cs="宋体"/>
          <w:color w:val="auto"/>
          <w:szCs w:val="21"/>
          <w:highlight w:val="none"/>
          <w:u w:val="single"/>
        </w:rPr>
        <w:t>收到承包人书面合理化建议后7天内</w:t>
      </w:r>
      <w:r>
        <w:rPr>
          <w:rFonts w:hint="eastAsia" w:ascii="宋体" w:hAnsi="宋体" w:eastAsia="宋体" w:cs="宋体"/>
          <w:color w:val="auto"/>
          <w:szCs w:val="21"/>
          <w:highlight w:val="none"/>
        </w:rPr>
        <w:t>。</w:t>
      </w:r>
    </w:p>
    <w:p w14:paraId="7360D0E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发包人审批承包人合理化建议的期限：</w:t>
      </w:r>
      <w:r>
        <w:rPr>
          <w:rFonts w:hint="eastAsia" w:ascii="宋体" w:hAnsi="宋体" w:eastAsia="宋体" w:cs="宋体"/>
          <w:color w:val="auto"/>
          <w:szCs w:val="21"/>
          <w:highlight w:val="none"/>
          <w:u w:val="single"/>
        </w:rPr>
        <w:t>收到承包人书面合理化建议后7天内</w:t>
      </w:r>
      <w:r>
        <w:rPr>
          <w:rFonts w:hint="eastAsia" w:ascii="宋体" w:hAnsi="宋体" w:eastAsia="宋体" w:cs="宋体"/>
          <w:color w:val="auto"/>
          <w:szCs w:val="21"/>
          <w:highlight w:val="none"/>
        </w:rPr>
        <w:t>。</w:t>
      </w:r>
    </w:p>
    <w:p w14:paraId="750AB3E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承包人提出的合理化建议降低了合同价格或者提高了工程经济效益的奖励的方法和金额为：</w:t>
      </w:r>
      <w:r>
        <w:rPr>
          <w:rFonts w:hint="eastAsia" w:ascii="宋体" w:hAnsi="宋体" w:eastAsia="宋体" w:cs="宋体"/>
          <w:color w:val="auto"/>
          <w:szCs w:val="21"/>
          <w:highlight w:val="none"/>
          <w:u w:val="single"/>
        </w:rPr>
        <w:t>无</w:t>
      </w:r>
    </w:p>
    <w:p w14:paraId="7AE48CF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10.7暂估价</w:t>
      </w:r>
    </w:p>
    <w:p w14:paraId="2DCB952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暂估价材料和工程设备（如有）的明细详见暂估价一览表</w:t>
      </w:r>
    </w:p>
    <w:p w14:paraId="2E76216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10.7.1依法必须招标的暂估价项目</w:t>
      </w:r>
    </w:p>
    <w:p w14:paraId="4522F48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对于依法必须招标的暂估价项目的确认和批准采取以下方式确定。</w:t>
      </w:r>
    </w:p>
    <w:p w14:paraId="01F26A2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依法必须招标的暂估价项目，由发包人和承包人共同招标确定暂估价供应商或分包人，承包人按照施工进度计划，在招标工作启动前14天通知发包人，并提交暂估价招标方案和工作分工。发包人应在收到后7天内确认。确定中标人后，由发包人、承包人与中标人共同签订暂估价合同。</w:t>
      </w:r>
    </w:p>
    <w:p w14:paraId="50EEF8F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10.7.2不属于依法必须招标的暂估价项目</w:t>
      </w:r>
    </w:p>
    <w:p w14:paraId="5D62D1C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对于不属于依法必须招标的暂估价项目的确认和批准采取第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种方式确定。</w:t>
      </w:r>
    </w:p>
    <w:p w14:paraId="62ABBEC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不属于依法必须招标的暂估价项目由承包人提出实施计划及价款，报监理、审计、发包人确认后实施。</w:t>
      </w:r>
    </w:p>
    <w:p w14:paraId="138AF26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承包人直接实施的暂估价项目的约定：</w:t>
      </w:r>
      <w:r>
        <w:rPr>
          <w:rFonts w:hint="eastAsia" w:ascii="宋体" w:hAnsi="宋体" w:eastAsia="宋体" w:cs="宋体"/>
          <w:color w:val="auto"/>
          <w:szCs w:val="21"/>
          <w:highlight w:val="none"/>
          <w:u w:val="single"/>
        </w:rPr>
        <w:t xml:space="preserve"> / </w:t>
      </w:r>
    </w:p>
    <w:p w14:paraId="077FD4E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10.8暂列金额</w:t>
      </w:r>
    </w:p>
    <w:p w14:paraId="31CC037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合同当事人关于暂列金额使用的约定：</w:t>
      </w:r>
      <w:r>
        <w:rPr>
          <w:rFonts w:hint="eastAsia" w:ascii="宋体" w:hAnsi="宋体" w:eastAsia="宋体" w:cs="宋体"/>
          <w:color w:val="auto"/>
          <w:szCs w:val="21"/>
          <w:highlight w:val="none"/>
          <w:u w:val="single"/>
        </w:rPr>
        <w:t xml:space="preserve"> 暂列金额应按照发包人的要求使用。 </w:t>
      </w:r>
    </w:p>
    <w:p w14:paraId="57C73F9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11.价格调整</w:t>
      </w:r>
    </w:p>
    <w:p w14:paraId="1602B6B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11.1市场价格波动引起的调整</w:t>
      </w:r>
    </w:p>
    <w:p w14:paraId="65E0CAA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市场价格波动是否调整合同价格的约定：</w:t>
      </w:r>
      <w:r>
        <w:rPr>
          <w:rFonts w:hint="eastAsia" w:ascii="宋体" w:hAnsi="宋体" w:eastAsia="宋体" w:cs="宋体"/>
          <w:color w:val="auto"/>
          <w:szCs w:val="21"/>
          <w:highlight w:val="none"/>
          <w:u w:val="single"/>
        </w:rPr>
        <w:t>不予调整</w:t>
      </w:r>
      <w:r>
        <w:rPr>
          <w:rFonts w:hint="eastAsia" w:ascii="宋体" w:hAnsi="宋体" w:eastAsia="宋体" w:cs="宋体"/>
          <w:color w:val="auto"/>
          <w:szCs w:val="21"/>
          <w:highlight w:val="none"/>
        </w:rPr>
        <w:t>。</w:t>
      </w:r>
    </w:p>
    <w:p w14:paraId="46712AB8">
      <w:pPr>
        <w:spacing w:line="360" w:lineRule="auto"/>
        <w:ind w:firstLine="44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调整范围：</w:t>
      </w:r>
      <w:r>
        <w:rPr>
          <w:rFonts w:hint="eastAsia" w:ascii="宋体" w:hAnsi="宋体" w:eastAsia="宋体" w:cs="宋体"/>
          <w:bCs/>
          <w:color w:val="auto"/>
          <w:szCs w:val="21"/>
          <w:highlight w:val="none"/>
          <w:u w:val="single"/>
        </w:rPr>
        <w:t>/</w:t>
      </w:r>
      <w:r>
        <w:rPr>
          <w:rFonts w:hint="eastAsia" w:ascii="宋体" w:hAnsi="宋体" w:eastAsia="宋体" w:cs="宋体"/>
          <w:bCs/>
          <w:color w:val="auto"/>
          <w:szCs w:val="21"/>
          <w:highlight w:val="none"/>
        </w:rPr>
        <w:t>。</w:t>
      </w:r>
    </w:p>
    <w:p w14:paraId="285B23DD">
      <w:pPr>
        <w:spacing w:line="360" w:lineRule="auto"/>
        <w:ind w:firstLine="44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因市场价格波动调整合同价格，采用以下第</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种方式对合同价格进行调整：</w:t>
      </w:r>
    </w:p>
    <w:p w14:paraId="5ED6B82B">
      <w:pPr>
        <w:spacing w:line="360" w:lineRule="auto"/>
        <w:ind w:firstLine="44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第1种方式：采用价格指数进行价格调整。</w:t>
      </w:r>
    </w:p>
    <w:p w14:paraId="1372D2C7">
      <w:pPr>
        <w:spacing w:line="360" w:lineRule="auto"/>
        <w:ind w:firstLine="44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关于各可调因子、定值和变值权重，以及基本价格指数及其来源的约定：</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78A1DC33">
      <w:pPr>
        <w:spacing w:line="360" w:lineRule="auto"/>
        <w:ind w:firstLine="44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第2种方式：采用造价信息进行价格调整。</w:t>
      </w:r>
    </w:p>
    <w:p w14:paraId="7DCE8683">
      <w:pPr>
        <w:spacing w:line="360" w:lineRule="auto"/>
        <w:ind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第3种方式：其他价格调整方式：</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789CAA1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12.合同价格、计量与支付</w:t>
      </w:r>
    </w:p>
    <w:p w14:paraId="59E3B8E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12.1合同价格形式</w:t>
      </w:r>
    </w:p>
    <w:p w14:paraId="5ECB2F4C">
      <w:pPr>
        <w:numPr>
          <w:ilvl w:val="0"/>
          <w:numId w:val="2"/>
        </w:num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单价合同</w:t>
      </w:r>
    </w:p>
    <w:p w14:paraId="6A8DEA1B">
      <w:pPr>
        <w:spacing w:line="360" w:lineRule="auto"/>
        <w:ind w:firstLine="440"/>
        <w:jc w:val="left"/>
        <w:rPr>
          <w:rFonts w:hint="eastAsia" w:ascii="宋体" w:hAnsi="宋体" w:eastAsia="宋体" w:cs="宋体"/>
          <w:bCs/>
          <w:color w:val="auto"/>
          <w:szCs w:val="21"/>
          <w:highlight w:val="none"/>
          <w:lang w:val="en-US" w:eastAsia="zh-CN"/>
        </w:rPr>
      </w:pPr>
      <w:r>
        <w:rPr>
          <w:rFonts w:hint="eastAsia" w:ascii="宋体" w:hAnsi="宋体" w:eastAsia="宋体" w:cs="宋体"/>
          <w:color w:val="auto"/>
          <w:highlight w:val="none"/>
          <w:lang w:val="en-US" w:eastAsia="zh-CN"/>
        </w:rPr>
        <w:t xml:space="preserve"> </w:t>
      </w:r>
      <w:r>
        <w:rPr>
          <w:rFonts w:hint="eastAsia" w:ascii="宋体" w:hAnsi="宋体" w:eastAsia="宋体" w:cs="宋体"/>
          <w:bCs/>
          <w:color w:val="auto"/>
          <w:szCs w:val="21"/>
          <w:highlight w:val="none"/>
          <w:lang w:val="en-US" w:eastAsia="zh-CN"/>
        </w:rPr>
        <w:t>采用固定单价合同，固定单价为综合单价（综合单价包括人工费、材料费、机械费、管理费、利润、风险费用）。承包人已充分考虑施工期间各类人工、材料、机械的市场风险等风险计入单价报价，结算时综合单价不再调整。</w:t>
      </w:r>
    </w:p>
    <w:p w14:paraId="7EAC107D">
      <w:pPr>
        <w:spacing w:line="360" w:lineRule="auto"/>
        <w:ind w:firstLine="440"/>
        <w:jc w:val="lef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综合单价包含的风险范围：承包人风险：①各类人工、材料、机械的市场风险；②为完成本工程所承担的施工期间除不可抗力、发包人风险以外的其他一切风险。</w:t>
      </w:r>
    </w:p>
    <w:p w14:paraId="483B220E">
      <w:pPr>
        <w:spacing w:line="360" w:lineRule="auto"/>
        <w:ind w:firstLine="440"/>
        <w:jc w:val="lef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风险费用的计算方法：承包人投标时应自行充分考虑风险，除不可抗力及发包人风险外，今后不做调整。本工程主要材料风险计算方法执行专用条款相关规定。</w:t>
      </w:r>
    </w:p>
    <w:p w14:paraId="62BCF46F">
      <w:pPr>
        <w:spacing w:line="360" w:lineRule="auto"/>
        <w:ind w:firstLine="440"/>
        <w:jc w:val="left"/>
        <w:rPr>
          <w:rFonts w:hint="eastAsia" w:ascii="宋体" w:hAnsi="宋体" w:eastAsia="宋体" w:cs="宋体"/>
          <w:color w:val="auto"/>
          <w:highlight w:val="none"/>
          <w:lang w:val="en-US" w:eastAsia="zh-CN"/>
        </w:rPr>
      </w:pPr>
      <w:r>
        <w:rPr>
          <w:rFonts w:hint="eastAsia" w:ascii="宋体" w:hAnsi="宋体" w:eastAsia="宋体" w:cs="宋体"/>
          <w:bCs/>
          <w:color w:val="auto"/>
          <w:szCs w:val="21"/>
          <w:highlight w:val="none"/>
          <w:lang w:val="en-US" w:eastAsia="zh-CN"/>
        </w:rPr>
        <w:t>风险范围以外合同价格的调整方法：</w:t>
      </w:r>
      <w:r>
        <w:rPr>
          <w:rFonts w:hint="eastAsia" w:ascii="宋体" w:hAnsi="宋体" w:eastAsia="宋体" w:cs="宋体"/>
          <w:bCs/>
          <w:color w:val="auto"/>
          <w:szCs w:val="21"/>
          <w:highlight w:val="none"/>
          <w:u w:val="single"/>
          <w:lang w:val="en-US" w:eastAsia="zh-CN"/>
        </w:rPr>
        <w:t xml:space="preserve">  /  </w:t>
      </w:r>
      <w:r>
        <w:rPr>
          <w:rFonts w:hint="eastAsia" w:ascii="宋体" w:hAnsi="宋体" w:eastAsia="宋体" w:cs="宋体"/>
          <w:bCs/>
          <w:color w:val="auto"/>
          <w:szCs w:val="21"/>
          <w:highlight w:val="none"/>
          <w:lang w:val="en-US" w:eastAsia="zh-CN"/>
        </w:rPr>
        <w:t xml:space="preserve"> 。</w:t>
      </w:r>
    </w:p>
    <w:p w14:paraId="512B831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12.2预付款</w:t>
      </w:r>
    </w:p>
    <w:p w14:paraId="104ED8A6">
      <w:pPr>
        <w:spacing w:line="360" w:lineRule="auto"/>
        <w:ind w:firstLine="44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12.2.1预付款的支付：</w:t>
      </w:r>
      <w:r>
        <w:rPr>
          <w:rFonts w:hint="eastAsia" w:ascii="宋体" w:hAnsi="宋体" w:eastAsia="宋体" w:cs="宋体"/>
          <w:b/>
          <w:bCs/>
          <w:color w:val="auto"/>
          <w:szCs w:val="21"/>
          <w:highlight w:val="none"/>
          <w:u w:val="single"/>
        </w:rPr>
        <w:t>预付合同价款的</w:t>
      </w:r>
      <w:r>
        <w:rPr>
          <w:rFonts w:hint="eastAsia" w:ascii="宋体" w:hAnsi="宋体" w:eastAsia="宋体" w:cs="宋体"/>
          <w:b/>
          <w:bCs/>
          <w:color w:val="auto"/>
          <w:szCs w:val="21"/>
          <w:highlight w:val="none"/>
          <w:u w:val="single"/>
          <w:lang w:val="en-US" w:eastAsia="zh-CN"/>
        </w:rPr>
        <w:t>10</w:t>
      </w:r>
      <w:r>
        <w:rPr>
          <w:rFonts w:hint="eastAsia" w:ascii="宋体" w:hAnsi="宋体" w:eastAsia="宋体" w:cs="宋体"/>
          <w:b/>
          <w:bCs/>
          <w:color w:val="auto"/>
          <w:szCs w:val="21"/>
          <w:highlight w:val="none"/>
          <w:u w:val="single"/>
        </w:rPr>
        <w:t>%</w:t>
      </w:r>
      <w:r>
        <w:rPr>
          <w:rFonts w:hint="eastAsia" w:ascii="宋体" w:hAnsi="宋体" w:eastAsia="宋体" w:cs="宋体"/>
          <w:b/>
          <w:bCs/>
          <w:color w:val="auto"/>
          <w:szCs w:val="21"/>
          <w:highlight w:val="none"/>
          <w:u w:val="single"/>
          <w:lang w:eastAsia="zh-CN"/>
        </w:rPr>
        <w:t>（</w:t>
      </w:r>
      <w:r>
        <w:rPr>
          <w:rFonts w:hint="eastAsia" w:ascii="宋体" w:hAnsi="宋体" w:eastAsia="宋体" w:cs="宋体"/>
          <w:b/>
          <w:bCs/>
          <w:color w:val="auto"/>
          <w:szCs w:val="21"/>
          <w:highlight w:val="none"/>
          <w:u w:val="single"/>
          <w:lang w:val="en-US" w:eastAsia="zh-CN"/>
        </w:rPr>
        <w:t xml:space="preserve">发包人提供同等金额的支付担保，预付款担保的形式为现金或者银行保函） </w:t>
      </w:r>
      <w:r>
        <w:rPr>
          <w:rFonts w:hint="eastAsia" w:ascii="宋体" w:hAnsi="宋体" w:eastAsia="宋体" w:cs="宋体"/>
          <w:color w:val="auto"/>
          <w:szCs w:val="21"/>
          <w:highlight w:val="none"/>
          <w:u w:val="single"/>
          <w:lang w:val="en-US" w:eastAsia="zh-CN"/>
        </w:rPr>
        <w:t>。</w:t>
      </w:r>
    </w:p>
    <w:p w14:paraId="01457CAF">
      <w:pPr>
        <w:spacing w:line="360" w:lineRule="auto"/>
        <w:ind w:firstLine="440"/>
        <w:rPr>
          <w:rFonts w:ascii="宋体" w:hAnsi="宋体" w:eastAsia="宋体" w:cs="宋体"/>
          <w:color w:val="auto"/>
          <w:szCs w:val="21"/>
          <w:highlight w:val="none"/>
        </w:rPr>
      </w:pPr>
      <w:r>
        <w:rPr>
          <w:rFonts w:hint="eastAsia" w:ascii="宋体" w:hAnsi="宋体" w:eastAsia="宋体" w:cs="宋体"/>
          <w:color w:val="auto"/>
          <w:szCs w:val="21"/>
          <w:highlight w:val="none"/>
        </w:rPr>
        <w:t>预付款支付期限：</w:t>
      </w:r>
      <w:r>
        <w:rPr>
          <w:rFonts w:hint="eastAsia" w:ascii="宋体" w:hAnsi="宋体" w:eastAsia="宋体" w:cs="宋体"/>
          <w:b/>
          <w:bCs/>
          <w:color w:val="auto"/>
          <w:szCs w:val="21"/>
          <w:highlight w:val="none"/>
          <w:u w:val="single"/>
        </w:rPr>
        <w:t>双方合同签订后七个工作日内</w:t>
      </w:r>
      <w:r>
        <w:rPr>
          <w:rFonts w:hint="eastAsia" w:ascii="宋体" w:hAnsi="宋体" w:eastAsia="宋体" w:cs="宋体"/>
          <w:color w:val="auto"/>
          <w:szCs w:val="21"/>
          <w:highlight w:val="none"/>
        </w:rPr>
        <w:t>。</w:t>
      </w:r>
    </w:p>
    <w:p w14:paraId="2E432430">
      <w:pPr>
        <w:spacing w:line="360" w:lineRule="auto"/>
        <w:ind w:firstLine="44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预付款扣回的方式：</w:t>
      </w:r>
      <w:r>
        <w:rPr>
          <w:rFonts w:hint="eastAsia" w:ascii="宋体" w:hAnsi="宋体" w:eastAsia="宋体" w:cs="宋体"/>
          <w:b/>
          <w:bCs/>
          <w:color w:val="auto"/>
          <w:szCs w:val="21"/>
          <w:highlight w:val="none"/>
          <w:u w:val="single"/>
          <w:lang w:val="en-US" w:eastAsia="zh-CN"/>
        </w:rPr>
        <w:t>第二次付款时扣回</w:t>
      </w:r>
      <w:r>
        <w:rPr>
          <w:rFonts w:hint="eastAsia" w:ascii="宋体" w:hAnsi="宋体" w:eastAsia="宋体" w:cs="宋体"/>
          <w:b/>
          <w:bCs/>
          <w:color w:val="auto"/>
          <w:szCs w:val="21"/>
          <w:highlight w:val="none"/>
        </w:rPr>
        <w:t>。</w:t>
      </w:r>
    </w:p>
    <w:p w14:paraId="45518755">
      <w:pPr>
        <w:spacing w:line="360" w:lineRule="auto"/>
        <w:ind w:firstLine="440"/>
        <w:rPr>
          <w:rFonts w:ascii="宋体" w:hAnsi="宋体" w:eastAsia="宋体" w:cs="宋体"/>
          <w:color w:val="auto"/>
          <w:szCs w:val="21"/>
          <w:highlight w:val="none"/>
        </w:rPr>
      </w:pPr>
      <w:r>
        <w:rPr>
          <w:rFonts w:hint="eastAsia" w:ascii="宋体" w:hAnsi="宋体" w:eastAsia="宋体" w:cs="宋体"/>
          <w:color w:val="auto"/>
          <w:szCs w:val="21"/>
          <w:highlight w:val="none"/>
        </w:rPr>
        <w:t>12.2.2预付款担保</w:t>
      </w:r>
    </w:p>
    <w:p w14:paraId="1868B28F">
      <w:pPr>
        <w:spacing w:line="360" w:lineRule="auto"/>
        <w:ind w:firstLine="440"/>
        <w:rPr>
          <w:rFonts w:ascii="宋体" w:hAnsi="宋体" w:eastAsia="宋体" w:cs="宋体"/>
          <w:color w:val="auto"/>
          <w:szCs w:val="21"/>
          <w:highlight w:val="none"/>
        </w:rPr>
      </w:pPr>
      <w:r>
        <w:rPr>
          <w:rFonts w:hint="eastAsia" w:ascii="宋体" w:hAnsi="宋体" w:eastAsia="宋体" w:cs="宋体"/>
          <w:color w:val="auto"/>
          <w:szCs w:val="21"/>
          <w:highlight w:val="none"/>
        </w:rPr>
        <w:t>承包人提交预付款担保的期限：</w:t>
      </w:r>
      <w:r>
        <w:rPr>
          <w:rFonts w:hint="eastAsia" w:ascii="宋体" w:hAnsi="宋体" w:eastAsia="宋体" w:cs="宋体"/>
          <w:color w:val="auto"/>
          <w:szCs w:val="21"/>
          <w:highlight w:val="none"/>
          <w:u w:val="single"/>
        </w:rPr>
        <w:t>至预付款扣回时</w:t>
      </w:r>
      <w:r>
        <w:rPr>
          <w:rFonts w:hint="eastAsia" w:ascii="宋体" w:hAnsi="宋体" w:eastAsia="宋体" w:cs="宋体"/>
          <w:color w:val="auto"/>
          <w:szCs w:val="21"/>
          <w:highlight w:val="none"/>
        </w:rPr>
        <w:t>。</w:t>
      </w:r>
    </w:p>
    <w:p w14:paraId="45ADEE40">
      <w:pPr>
        <w:spacing w:line="360" w:lineRule="auto"/>
        <w:ind w:firstLine="442"/>
        <w:rPr>
          <w:rFonts w:hint="eastAsia" w:ascii="宋体" w:hAnsi="宋体" w:eastAsia="宋体" w:cs="宋体"/>
          <w:color w:val="auto"/>
          <w:szCs w:val="21"/>
          <w:highlight w:val="none"/>
          <w:u w:val="single"/>
        </w:rPr>
      </w:pPr>
      <w:r>
        <w:rPr>
          <w:rFonts w:hint="eastAsia" w:ascii="宋体" w:hAnsi="宋体" w:eastAsia="宋体" w:cs="宋体"/>
          <w:b/>
          <w:bCs/>
          <w:color w:val="auto"/>
          <w:szCs w:val="21"/>
          <w:highlight w:val="none"/>
        </w:rPr>
        <w:t>预付款担保的形式为：</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现金或</w:t>
      </w:r>
      <w:r>
        <w:rPr>
          <w:rFonts w:hint="eastAsia" w:ascii="宋体" w:hAnsi="宋体" w:eastAsia="宋体" w:cs="宋体"/>
          <w:b/>
          <w:bCs/>
          <w:color w:val="auto"/>
          <w:szCs w:val="21"/>
          <w:highlight w:val="none"/>
          <w:u w:val="single"/>
        </w:rPr>
        <w:t>银行保函</w:t>
      </w:r>
      <w:r>
        <w:rPr>
          <w:rFonts w:hint="eastAsia" w:ascii="宋体" w:hAnsi="宋体" w:eastAsia="宋体" w:cs="宋体"/>
          <w:b/>
          <w:bCs/>
          <w:color w:val="auto"/>
          <w:szCs w:val="21"/>
          <w:highlight w:val="none"/>
        </w:rPr>
        <w:t>。</w:t>
      </w:r>
    </w:p>
    <w:p w14:paraId="0982A5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12.3计量</w:t>
      </w:r>
    </w:p>
    <w:p w14:paraId="70964A7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12.3.1计量原则</w:t>
      </w:r>
    </w:p>
    <w:p w14:paraId="66347CA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工程量计算规则：</w:t>
      </w:r>
      <w:r>
        <w:rPr>
          <w:rFonts w:hint="eastAsia" w:ascii="宋体" w:hAnsi="宋体" w:eastAsia="宋体" w:cs="宋体"/>
          <w:color w:val="auto"/>
          <w:szCs w:val="21"/>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 </w:t>
      </w:r>
      <w:r>
        <w:rPr>
          <w:rFonts w:hint="eastAsia" w:ascii="宋体" w:hAnsi="宋体" w:eastAsia="宋体" w:cs="宋体"/>
          <w:color w:val="auto"/>
          <w:szCs w:val="21"/>
          <w:highlight w:val="none"/>
        </w:rPr>
        <w:t>。</w:t>
      </w:r>
    </w:p>
    <w:p w14:paraId="4E598E2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12.3.2计量周期</w:t>
      </w:r>
    </w:p>
    <w:p w14:paraId="7FFF7F8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关于计量周期的约定：</w:t>
      </w:r>
      <w:r>
        <w:rPr>
          <w:rFonts w:hint="eastAsia" w:ascii="宋体" w:hAnsi="宋体" w:eastAsia="宋体" w:cs="宋体"/>
          <w:color w:val="auto"/>
          <w:szCs w:val="21"/>
          <w:highlight w:val="none"/>
          <w:u w:val="single"/>
        </w:rPr>
        <w:t>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p>
    <w:p w14:paraId="3E77430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12.3.3单价合同的计量</w:t>
      </w:r>
    </w:p>
    <w:p w14:paraId="50F0F6D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关于单价合同计量的约定：</w:t>
      </w:r>
      <w:r>
        <w:rPr>
          <w:rFonts w:hint="eastAsia" w:ascii="宋体" w:hAnsi="宋体" w:eastAsia="宋体" w:cs="宋体"/>
          <w:color w:val="auto"/>
          <w:szCs w:val="21"/>
          <w:highlight w:val="none"/>
          <w:u w:val="single"/>
          <w:lang w:bidi="ar"/>
        </w:rPr>
        <w:t>工程量按实计量</w:t>
      </w:r>
      <w:r>
        <w:rPr>
          <w:rFonts w:hint="eastAsia" w:ascii="宋体" w:hAnsi="宋体" w:eastAsia="宋体" w:cs="宋体"/>
          <w:color w:val="auto"/>
          <w:szCs w:val="21"/>
          <w:highlight w:val="none"/>
          <w:u w:val="single"/>
        </w:rPr>
        <w:t>。</w:t>
      </w:r>
    </w:p>
    <w:p w14:paraId="5D9BFC6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12.3.4总价合同的计量</w:t>
      </w:r>
    </w:p>
    <w:p w14:paraId="398DDEE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关于总价合同计量的约定：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676F3F3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12.3.5总价合同采用支付分解表计量支付的，是否适用第12.3.4项〔总价合同的计量〕约定进行计量：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5FBDE63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12.3.6其他价格形式合同的计量</w:t>
      </w:r>
    </w:p>
    <w:p w14:paraId="395BD93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其他价格形式的计量方式和程序：</w:t>
      </w:r>
    </w:p>
    <w:p w14:paraId="6925097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   </w:t>
      </w:r>
    </w:p>
    <w:p w14:paraId="1DDF69BD">
      <w:pPr>
        <w:spacing w:line="360" w:lineRule="auto"/>
        <w:ind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12.4工程进度款支付</w:t>
      </w:r>
    </w:p>
    <w:p w14:paraId="4CC2778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12.4.1付款周期</w:t>
      </w:r>
    </w:p>
    <w:p w14:paraId="616D542D">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关于付款周期的约定：</w:t>
      </w:r>
    </w:p>
    <w:p w14:paraId="78243C1D">
      <w:pPr>
        <w:keepNext w:val="0"/>
        <w:keepLines w:val="0"/>
        <w:pageBreakBefore w:val="0"/>
        <w:widowControl/>
        <w:spacing w:line="560" w:lineRule="exact"/>
        <w:ind w:firstLine="480"/>
        <w:jc w:val="left"/>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合同签订结束，进场后7个工作日内预付合同价款的10%，工程完工经有关部门验收合格后付至已完合格工程量价款的80%，审计完成后付至审定价的97%；留3%质保金，待缺陷责任期满后支付到审计价款的100%。</w:t>
      </w:r>
    </w:p>
    <w:p w14:paraId="5156D1C3">
      <w:pPr>
        <w:keepNext w:val="0"/>
        <w:keepLines w:val="0"/>
        <w:pageBreakBefore w:val="0"/>
        <w:widowControl/>
        <w:spacing w:line="560" w:lineRule="exact"/>
        <w:ind w:firstLine="480"/>
        <w:jc w:val="left"/>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采购人对满足合同约定支付条件的项目自收到发票后10个工作日内将资金支付到约定的供应商账户 (以发票开具日期计算)。</w:t>
      </w:r>
    </w:p>
    <w:p w14:paraId="1F85F3D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12.4.2进度付款申请单的编制</w:t>
      </w:r>
    </w:p>
    <w:p w14:paraId="7D80ABF4">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关于进度付款申请单编制的约定：</w:t>
      </w:r>
      <w:r>
        <w:rPr>
          <w:rFonts w:hint="eastAsia" w:ascii="宋体" w:hAnsi="宋体" w:eastAsia="宋体" w:cs="宋体"/>
          <w:color w:val="auto"/>
          <w:szCs w:val="21"/>
          <w:highlight w:val="none"/>
          <w:u w:val="single"/>
        </w:rPr>
        <w:t xml:space="preserve">不包含工程变更、签证、索赔费用 </w:t>
      </w:r>
    </w:p>
    <w:p w14:paraId="140D2E8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12.4.3进度付款申请单的提交</w:t>
      </w:r>
    </w:p>
    <w:p w14:paraId="121E5DD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(1)单价合同进度付款申请单提交的约定：</w:t>
      </w:r>
      <w:r>
        <w:rPr>
          <w:rFonts w:hint="eastAsia" w:ascii="宋体" w:hAnsi="宋体" w:eastAsia="宋体" w:cs="宋体"/>
          <w:color w:val="auto"/>
          <w:szCs w:val="21"/>
          <w:highlight w:val="none"/>
          <w:u w:val="single"/>
        </w:rPr>
        <w:t xml:space="preserve">承包人应按当月实际进度在每月25日前向监理工程师报送月度已完工且验收合格工程的工程款支付报审表及相关资料  </w:t>
      </w:r>
      <w:r>
        <w:rPr>
          <w:rFonts w:hint="eastAsia" w:ascii="宋体" w:hAnsi="宋体" w:eastAsia="宋体" w:cs="宋体"/>
          <w:color w:val="auto"/>
          <w:szCs w:val="21"/>
          <w:highlight w:val="none"/>
        </w:rPr>
        <w:t>。</w:t>
      </w:r>
    </w:p>
    <w:p w14:paraId="262EEC9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(2)总价合同进度付款申请单提交的约定：</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2263805">
      <w:pPr>
        <w:spacing w:line="360" w:lineRule="auto"/>
        <w:ind w:firstLine="44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(3)其他价格形式合同进度付款申请单提交的约定：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w:t>
      </w:r>
    </w:p>
    <w:p w14:paraId="0572AD2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12.4.4进度款审核和支付</w:t>
      </w:r>
    </w:p>
    <w:p w14:paraId="3A394B3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(1)监理人审查并报送发包人的期限：</w:t>
      </w:r>
      <w:r>
        <w:rPr>
          <w:rFonts w:hint="eastAsia" w:ascii="宋体" w:hAnsi="宋体" w:eastAsia="宋体" w:cs="宋体"/>
          <w:color w:val="auto"/>
          <w:szCs w:val="21"/>
          <w:highlight w:val="none"/>
          <w:u w:val="single"/>
        </w:rPr>
        <w:t xml:space="preserve"> 收到承包人提交资料后7天内 </w:t>
      </w:r>
      <w:r>
        <w:rPr>
          <w:rFonts w:hint="eastAsia" w:ascii="宋体" w:hAnsi="宋体" w:eastAsia="宋体" w:cs="宋体"/>
          <w:color w:val="auto"/>
          <w:szCs w:val="21"/>
          <w:highlight w:val="none"/>
        </w:rPr>
        <w:t>。</w:t>
      </w:r>
    </w:p>
    <w:p w14:paraId="5E8E601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发包人完成审批并签发进度款支付证书的期限：</w:t>
      </w:r>
      <w:r>
        <w:rPr>
          <w:rFonts w:hint="eastAsia" w:ascii="宋体" w:hAnsi="宋体" w:eastAsia="宋体" w:cs="宋体"/>
          <w:color w:val="auto"/>
          <w:szCs w:val="21"/>
          <w:highlight w:val="none"/>
          <w:u w:val="single"/>
        </w:rPr>
        <w:t>收到承包人提交资料后7天内</w:t>
      </w:r>
    </w:p>
    <w:p w14:paraId="420B953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(2)发包人支付进度款的期限：</w:t>
      </w:r>
      <w:r>
        <w:rPr>
          <w:rFonts w:hint="eastAsia" w:ascii="宋体" w:hAnsi="宋体" w:eastAsia="宋体" w:cs="宋体"/>
          <w:color w:val="auto"/>
          <w:szCs w:val="21"/>
          <w:highlight w:val="none"/>
          <w:u w:val="single"/>
        </w:rPr>
        <w:t xml:space="preserve"> 按资金到位情况拨付</w:t>
      </w:r>
      <w:r>
        <w:rPr>
          <w:rFonts w:hint="eastAsia" w:ascii="宋体" w:hAnsi="宋体" w:eastAsia="宋体" w:cs="宋体"/>
          <w:color w:val="auto"/>
          <w:szCs w:val="21"/>
          <w:highlight w:val="none"/>
        </w:rPr>
        <w:t>。</w:t>
      </w:r>
    </w:p>
    <w:p w14:paraId="26A79F60">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发包人逾期支付进度款的违约金的计算方式：</w:t>
      </w:r>
      <w:r>
        <w:rPr>
          <w:rFonts w:hint="eastAsia" w:ascii="宋体" w:hAnsi="宋体" w:eastAsia="宋体" w:cs="宋体"/>
          <w:color w:val="auto"/>
          <w:szCs w:val="21"/>
          <w:highlight w:val="none"/>
          <w:u w:val="single"/>
        </w:rPr>
        <w:t xml:space="preserve"> 无； </w:t>
      </w:r>
    </w:p>
    <w:p w14:paraId="609696A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12.4.6支付分解表的编制</w:t>
      </w:r>
    </w:p>
    <w:p w14:paraId="6606DF5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2、总价合同支付分解表的编制与审批：</w:t>
      </w:r>
      <w:r>
        <w:rPr>
          <w:rFonts w:hint="eastAsia" w:ascii="宋体" w:hAnsi="宋体" w:eastAsia="宋体" w:cs="宋体"/>
          <w:color w:val="auto"/>
          <w:szCs w:val="21"/>
          <w:highlight w:val="none"/>
          <w:u w:val="single"/>
        </w:rPr>
        <w:t xml:space="preserve"> / </w:t>
      </w:r>
    </w:p>
    <w:p w14:paraId="16DA4B7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3、单价合同的总价项目支付分解表的编制与审批：</w:t>
      </w:r>
      <w:r>
        <w:rPr>
          <w:rFonts w:hint="eastAsia" w:ascii="宋体" w:hAnsi="宋体" w:eastAsia="宋体" w:cs="宋体"/>
          <w:color w:val="auto"/>
          <w:szCs w:val="21"/>
          <w:highlight w:val="none"/>
          <w:u w:val="single"/>
        </w:rPr>
        <w:t xml:space="preserve">执行通用条款  </w:t>
      </w:r>
    </w:p>
    <w:p w14:paraId="3B653F2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13.验收和工程试车</w:t>
      </w:r>
    </w:p>
    <w:p w14:paraId="5DFD1B9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13.1分部分项工程验收</w:t>
      </w:r>
    </w:p>
    <w:p w14:paraId="4C0040C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13.1.2监理人不能按时进行验收时，应提前</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小时提交书面延期要求。</w:t>
      </w:r>
    </w:p>
    <w:p w14:paraId="13F4F5E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48</w:t>
      </w:r>
      <w:r>
        <w:rPr>
          <w:rFonts w:hint="eastAsia" w:ascii="宋体" w:hAnsi="宋体" w:eastAsia="宋体" w:cs="宋体"/>
          <w:color w:val="auto"/>
          <w:szCs w:val="21"/>
          <w:highlight w:val="none"/>
        </w:rPr>
        <w:t>小时。</w:t>
      </w:r>
    </w:p>
    <w:p w14:paraId="047CDA9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13.2竣工验收</w:t>
      </w:r>
    </w:p>
    <w:p w14:paraId="43E8529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13.2.2竣工验收程序</w:t>
      </w:r>
    </w:p>
    <w:p w14:paraId="34AF2AE9">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关于竣工验收程序的约定：</w:t>
      </w:r>
    </w:p>
    <w:p w14:paraId="0BE9E78F">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7518CAC9">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7F240B1F">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（3）竣工验收合格的，发包人应在验收合格后28天内向承包人签发工程接收证书。发包人无正当理由逾期不颁发工程接收证书的，自验收合格后第29天起视为已颁发工程接收证书。</w:t>
      </w:r>
    </w:p>
    <w:p w14:paraId="483C310C">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24D0E684">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1095A25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发包人未按照本项约定组织竣工验收、颁发工程接收证书的违约金的计算方法：</w:t>
      </w:r>
      <w:r>
        <w:rPr>
          <w:rFonts w:hint="eastAsia" w:ascii="宋体" w:hAnsi="宋体" w:eastAsia="宋体" w:cs="宋体"/>
          <w:color w:val="auto"/>
          <w:szCs w:val="21"/>
          <w:highlight w:val="none"/>
          <w:u w:val="single"/>
        </w:rPr>
        <w:t>不计取，违约金为零。</w:t>
      </w:r>
    </w:p>
    <w:p w14:paraId="56F6EE8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13.2.5移交、接收全部与部分工程</w:t>
      </w:r>
    </w:p>
    <w:p w14:paraId="71C5DC2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承包人向发包人移交工程的期限：</w:t>
      </w:r>
      <w:r>
        <w:rPr>
          <w:rFonts w:hint="eastAsia" w:ascii="宋体" w:hAnsi="宋体" w:eastAsia="宋体" w:cs="宋体"/>
          <w:color w:val="auto"/>
          <w:szCs w:val="21"/>
          <w:highlight w:val="none"/>
          <w:u w:val="single"/>
        </w:rPr>
        <w:t>执行通用条款</w:t>
      </w:r>
      <w:r>
        <w:rPr>
          <w:rFonts w:hint="eastAsia" w:ascii="宋体" w:hAnsi="宋体" w:eastAsia="宋体" w:cs="宋体"/>
          <w:color w:val="auto"/>
          <w:szCs w:val="21"/>
          <w:highlight w:val="none"/>
        </w:rPr>
        <w:t>。</w:t>
      </w:r>
    </w:p>
    <w:p w14:paraId="303A6C9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发包人未按本合同约定接收全部或部分工程的，违约金的计算方法为：</w:t>
      </w:r>
      <w:r>
        <w:rPr>
          <w:rFonts w:hint="eastAsia" w:ascii="宋体" w:hAnsi="宋体" w:eastAsia="宋体" w:cs="宋体"/>
          <w:color w:val="auto"/>
          <w:szCs w:val="21"/>
          <w:highlight w:val="none"/>
          <w:u w:val="single"/>
        </w:rPr>
        <w:t>不计取，违约金为零  。</w:t>
      </w:r>
    </w:p>
    <w:p w14:paraId="4721ED9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承包人未按时移交工程的，违约金的计算方法为：</w:t>
      </w:r>
    </w:p>
    <w:p w14:paraId="7106E915">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如承包人不能按规定上报竣工资料及竣工验收报告，承包人需向发包人支付3000元/天的违约金，违约金最高限额不超过合同价2%。违约金从工程竣工结算款中扣除。</w:t>
      </w:r>
    </w:p>
    <w:p w14:paraId="43FA6C0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13.3工程试车</w:t>
      </w:r>
    </w:p>
    <w:p w14:paraId="30AB5CC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13.3.1试车程序</w:t>
      </w:r>
    </w:p>
    <w:p w14:paraId="318A43A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工程试车内容：</w:t>
      </w:r>
      <w:r>
        <w:rPr>
          <w:rFonts w:hint="eastAsia" w:ascii="宋体" w:hAnsi="宋体" w:eastAsia="宋体" w:cs="宋体"/>
          <w:color w:val="auto"/>
          <w:szCs w:val="21"/>
          <w:highlight w:val="none"/>
          <w:u w:val="single"/>
        </w:rPr>
        <w:t xml:space="preserve">/ </w:t>
      </w:r>
    </w:p>
    <w:p w14:paraId="79266C9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(1)单机无负荷试车费用由</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承担；</w:t>
      </w:r>
    </w:p>
    <w:p w14:paraId="1A39878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(2)无负荷联动试车费用由</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承担。</w:t>
      </w:r>
    </w:p>
    <w:p w14:paraId="602D0A3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13.3.3投料试车</w:t>
      </w:r>
    </w:p>
    <w:p w14:paraId="5EDF95F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关于投料试车相关事项的约定：</w:t>
      </w:r>
      <w:r>
        <w:rPr>
          <w:rFonts w:hint="eastAsia" w:ascii="宋体" w:hAnsi="宋体" w:eastAsia="宋体" w:cs="宋体"/>
          <w:color w:val="auto"/>
          <w:szCs w:val="21"/>
          <w:highlight w:val="none"/>
          <w:u w:val="single"/>
        </w:rPr>
        <w:t xml:space="preserve">/  </w:t>
      </w:r>
    </w:p>
    <w:p w14:paraId="4BB2627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13.6竣工退场</w:t>
      </w:r>
    </w:p>
    <w:p w14:paraId="5AFD617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13.6.1竣工退场</w:t>
      </w:r>
    </w:p>
    <w:p w14:paraId="11A82F07">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承包人完成竣工退场的期限：</w:t>
      </w:r>
      <w:r>
        <w:rPr>
          <w:rFonts w:hint="eastAsia" w:ascii="宋体" w:hAnsi="宋体" w:eastAsia="宋体" w:cs="宋体"/>
          <w:color w:val="auto"/>
          <w:szCs w:val="21"/>
          <w:highlight w:val="none"/>
          <w:u w:val="single"/>
        </w:rPr>
        <w:t>工程竣工验收后，施工单位的施工人员、材料、设备必须在7天内全部退出现场。</w:t>
      </w:r>
    </w:p>
    <w:p w14:paraId="24B493D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14.竣工结算</w:t>
      </w:r>
    </w:p>
    <w:p w14:paraId="188FCAA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14.1竣工付款申请</w:t>
      </w:r>
    </w:p>
    <w:p w14:paraId="1CDD645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承包人提交竣工付款申请单的期限：</w:t>
      </w:r>
      <w:r>
        <w:rPr>
          <w:rFonts w:hint="eastAsia" w:ascii="宋体" w:hAnsi="宋体" w:eastAsia="宋体" w:cs="宋体"/>
          <w:color w:val="auto"/>
          <w:szCs w:val="21"/>
          <w:highlight w:val="none"/>
          <w:u w:val="single"/>
        </w:rPr>
        <w:t>执行通用条款</w:t>
      </w:r>
      <w:r>
        <w:rPr>
          <w:rFonts w:hint="eastAsia" w:ascii="宋体" w:hAnsi="宋体" w:eastAsia="宋体" w:cs="宋体"/>
          <w:color w:val="auto"/>
          <w:szCs w:val="21"/>
          <w:highlight w:val="none"/>
        </w:rPr>
        <w:t>。</w:t>
      </w:r>
    </w:p>
    <w:p w14:paraId="2335599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竣工付款申请单应包括的内容：</w:t>
      </w:r>
      <w:r>
        <w:rPr>
          <w:rFonts w:hint="eastAsia" w:ascii="宋体" w:hAnsi="宋体" w:eastAsia="宋体" w:cs="宋体"/>
          <w:color w:val="auto"/>
          <w:szCs w:val="21"/>
          <w:highlight w:val="none"/>
          <w:u w:val="single"/>
        </w:rPr>
        <w:t xml:space="preserve">按发包人要求以及通用条款 </w:t>
      </w:r>
    </w:p>
    <w:p w14:paraId="6158D79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14.2竣工结算审核</w:t>
      </w:r>
    </w:p>
    <w:p w14:paraId="1573B07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发包人审批竣工付款申请单的期限：</w:t>
      </w:r>
      <w:r>
        <w:rPr>
          <w:rFonts w:hint="eastAsia" w:ascii="宋体" w:hAnsi="宋体" w:eastAsia="宋体" w:cs="宋体"/>
          <w:color w:val="auto"/>
          <w:szCs w:val="21"/>
          <w:highlight w:val="none"/>
          <w:u w:val="single"/>
        </w:rPr>
        <w:t xml:space="preserve">具体实施按照发包人规定的工作流程及要求执行 </w:t>
      </w:r>
      <w:r>
        <w:rPr>
          <w:rFonts w:hint="eastAsia" w:ascii="宋体" w:hAnsi="宋体" w:eastAsia="宋体" w:cs="宋体"/>
          <w:color w:val="auto"/>
          <w:szCs w:val="21"/>
          <w:highlight w:val="none"/>
        </w:rPr>
        <w:t>。</w:t>
      </w:r>
    </w:p>
    <w:p w14:paraId="42D17B7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发包人完成竣工付款的期限：</w:t>
      </w:r>
      <w:r>
        <w:rPr>
          <w:rFonts w:hint="eastAsia" w:ascii="宋体" w:hAnsi="宋体" w:eastAsia="宋体" w:cs="宋体"/>
          <w:color w:val="auto"/>
          <w:szCs w:val="21"/>
          <w:highlight w:val="none"/>
          <w:u w:val="single"/>
        </w:rPr>
        <w:t xml:space="preserve">具体实施按照发包人规定的工作流程及要求执行 </w:t>
      </w:r>
      <w:r>
        <w:rPr>
          <w:rFonts w:hint="eastAsia" w:ascii="宋体" w:hAnsi="宋体" w:eastAsia="宋体" w:cs="宋体"/>
          <w:color w:val="auto"/>
          <w:szCs w:val="21"/>
          <w:highlight w:val="none"/>
        </w:rPr>
        <w:t>。</w:t>
      </w:r>
    </w:p>
    <w:p w14:paraId="374273DE">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关于竣工付款证书异议部分复核的方式和程序：</w:t>
      </w:r>
      <w:r>
        <w:rPr>
          <w:rFonts w:hint="eastAsia" w:ascii="宋体" w:hAnsi="宋体" w:eastAsia="宋体" w:cs="宋体"/>
          <w:color w:val="auto"/>
          <w:szCs w:val="21"/>
          <w:highlight w:val="none"/>
          <w:u w:val="single"/>
        </w:rPr>
        <w:t>按通用条款第20条“争议解决”的约定办理</w:t>
      </w:r>
    </w:p>
    <w:p w14:paraId="27970A0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14.4最终结清</w:t>
      </w:r>
    </w:p>
    <w:p w14:paraId="2F32AED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14.4.1最终结清申请单</w:t>
      </w:r>
    </w:p>
    <w:p w14:paraId="3410B8B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承包人提交最终结清申请单的份数：</w:t>
      </w:r>
      <w:r>
        <w:rPr>
          <w:rFonts w:hint="eastAsia" w:ascii="宋体" w:hAnsi="宋体" w:eastAsia="宋体" w:cs="宋体"/>
          <w:color w:val="auto"/>
          <w:szCs w:val="21"/>
          <w:highlight w:val="none"/>
          <w:u w:val="single"/>
        </w:rPr>
        <w:t xml:space="preserve">按发包人要求执行 </w:t>
      </w:r>
      <w:r>
        <w:rPr>
          <w:rFonts w:hint="eastAsia" w:ascii="宋体" w:hAnsi="宋体" w:eastAsia="宋体" w:cs="宋体"/>
          <w:color w:val="auto"/>
          <w:szCs w:val="21"/>
          <w:highlight w:val="none"/>
        </w:rPr>
        <w:t>。</w:t>
      </w:r>
    </w:p>
    <w:p w14:paraId="43DDA33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承包人提交最终结算申请单的期限：</w:t>
      </w:r>
      <w:r>
        <w:rPr>
          <w:rFonts w:hint="eastAsia" w:ascii="宋体" w:hAnsi="宋体" w:eastAsia="宋体" w:cs="宋体"/>
          <w:color w:val="auto"/>
          <w:szCs w:val="21"/>
          <w:highlight w:val="none"/>
          <w:u w:val="single"/>
        </w:rPr>
        <w:t xml:space="preserve">缺陷责任期满后7天内 </w:t>
      </w:r>
      <w:r>
        <w:rPr>
          <w:rFonts w:hint="eastAsia" w:ascii="宋体" w:hAnsi="宋体" w:eastAsia="宋体" w:cs="宋体"/>
          <w:color w:val="auto"/>
          <w:szCs w:val="21"/>
          <w:highlight w:val="none"/>
        </w:rPr>
        <w:t>。</w:t>
      </w:r>
    </w:p>
    <w:p w14:paraId="45BD469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14.4.2最终结清证书和支付</w:t>
      </w:r>
    </w:p>
    <w:p w14:paraId="4780B04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(1)发包人完成最终结清申请单的审批并颁发最终结清证书的期限：</w:t>
      </w:r>
      <w:r>
        <w:rPr>
          <w:rFonts w:hint="eastAsia" w:ascii="宋体" w:hAnsi="宋体" w:eastAsia="宋体" w:cs="宋体"/>
          <w:color w:val="auto"/>
          <w:szCs w:val="21"/>
          <w:highlight w:val="none"/>
          <w:u w:val="single"/>
        </w:rPr>
        <w:t>按发包人工作流程</w:t>
      </w:r>
      <w:r>
        <w:rPr>
          <w:rFonts w:hint="eastAsia" w:ascii="宋体" w:hAnsi="宋体" w:eastAsia="宋体" w:cs="宋体"/>
          <w:color w:val="auto"/>
          <w:szCs w:val="21"/>
          <w:highlight w:val="none"/>
        </w:rPr>
        <w:t>。</w:t>
      </w:r>
    </w:p>
    <w:p w14:paraId="000E1A4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(2)发包人完成支付的期限：</w:t>
      </w:r>
      <w:r>
        <w:rPr>
          <w:rFonts w:hint="eastAsia" w:ascii="宋体" w:hAnsi="宋体" w:eastAsia="宋体" w:cs="宋体"/>
          <w:color w:val="auto"/>
          <w:szCs w:val="21"/>
          <w:highlight w:val="none"/>
          <w:u w:val="single"/>
        </w:rPr>
        <w:t xml:space="preserve"> 颁发最终结清证书后14天内完成支付 </w:t>
      </w:r>
      <w:r>
        <w:rPr>
          <w:rFonts w:hint="eastAsia" w:ascii="宋体" w:hAnsi="宋体" w:eastAsia="宋体" w:cs="宋体"/>
          <w:color w:val="auto"/>
          <w:szCs w:val="21"/>
          <w:highlight w:val="none"/>
        </w:rPr>
        <w:t>。</w:t>
      </w:r>
    </w:p>
    <w:p w14:paraId="46A8020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15.缺陷责任期与保修</w:t>
      </w:r>
    </w:p>
    <w:p w14:paraId="42B6A90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15.2缺陷责任期</w:t>
      </w:r>
    </w:p>
    <w:p w14:paraId="3335346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缺陷责任期的具体期限：</w:t>
      </w:r>
      <w:r>
        <w:rPr>
          <w:rFonts w:hint="eastAsia" w:ascii="宋体" w:hAnsi="宋体" w:eastAsia="宋体" w:cs="宋体"/>
          <w:color w:val="auto"/>
          <w:szCs w:val="21"/>
          <w:highlight w:val="none"/>
          <w:u w:val="single"/>
          <w:lang w:bidi="ar"/>
        </w:rPr>
        <w:t>自实际竣工日期起24个月</w:t>
      </w:r>
      <w:r>
        <w:rPr>
          <w:rFonts w:hint="eastAsia" w:ascii="宋体" w:hAnsi="宋体" w:eastAsia="宋体" w:cs="宋体"/>
          <w:color w:val="auto"/>
          <w:szCs w:val="21"/>
          <w:highlight w:val="none"/>
        </w:rPr>
        <w:t>。</w:t>
      </w:r>
    </w:p>
    <w:p w14:paraId="43066A4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15.3质量保证金</w:t>
      </w:r>
    </w:p>
    <w:p w14:paraId="421E60F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关于是否扣留质量保证金的约定：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5BC2E8A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15.3.1承包人提供质量保证金的方式</w:t>
      </w:r>
    </w:p>
    <w:p w14:paraId="7C8C399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质量保证金采用以下第</w:t>
      </w:r>
      <w:r>
        <w:rPr>
          <w:rFonts w:hint="eastAsia" w:ascii="宋体" w:hAnsi="宋体" w:eastAsia="宋体" w:cs="宋体"/>
          <w:color w:val="auto"/>
          <w:szCs w:val="21"/>
          <w:highlight w:val="none"/>
          <w:u w:val="single"/>
        </w:rPr>
        <w:t xml:space="preserve">（3） </w:t>
      </w:r>
      <w:r>
        <w:rPr>
          <w:rFonts w:hint="eastAsia" w:ascii="宋体" w:hAnsi="宋体" w:eastAsia="宋体" w:cs="宋体"/>
          <w:color w:val="auto"/>
          <w:szCs w:val="21"/>
          <w:highlight w:val="none"/>
        </w:rPr>
        <w:t>种方式：</w:t>
      </w:r>
    </w:p>
    <w:p w14:paraId="337CB99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(1)质量保证金保函，保证金额为：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3CED75A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%的工程款；</w:t>
      </w:r>
    </w:p>
    <w:p w14:paraId="2B35433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(3)其他方式：</w:t>
      </w:r>
      <w:r>
        <w:rPr>
          <w:rFonts w:hint="eastAsia" w:ascii="宋体" w:hAnsi="宋体" w:eastAsia="宋体" w:cs="宋体"/>
          <w:color w:val="auto"/>
          <w:szCs w:val="21"/>
          <w:highlight w:val="none"/>
          <w:u w:val="single"/>
        </w:rPr>
        <w:t xml:space="preserve"> 扣留工程结算审计的</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%作为质量保证金</w:t>
      </w:r>
      <w:r>
        <w:rPr>
          <w:rFonts w:hint="eastAsia" w:ascii="宋体" w:hAnsi="宋体" w:eastAsia="宋体" w:cs="宋体"/>
          <w:color w:val="auto"/>
          <w:szCs w:val="21"/>
          <w:highlight w:val="none"/>
        </w:rPr>
        <w:t>。</w:t>
      </w:r>
    </w:p>
    <w:p w14:paraId="1A4BC87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15.3.2质量保证金的扣留</w:t>
      </w:r>
    </w:p>
    <w:p w14:paraId="57B638C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质量保证金的扣留采取以下第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种方式：</w:t>
      </w:r>
    </w:p>
    <w:p w14:paraId="7CAFAAE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(1)在支付工程进度款时逐次扣留，在此情形下，质量保证金的计算基数不包括预付款的支付、扣回以及价格调整的金额；</w:t>
      </w:r>
    </w:p>
    <w:p w14:paraId="168F38F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(2)工程竣工结算时一次性扣留质量保证金；</w:t>
      </w:r>
    </w:p>
    <w:p w14:paraId="280C8DD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(3)其他扣留方式：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59B4A9B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关于质量保证金的补充约定：</w:t>
      </w:r>
      <w:r>
        <w:rPr>
          <w:rFonts w:hint="eastAsia" w:ascii="宋体" w:hAnsi="宋体" w:eastAsia="宋体" w:cs="宋体"/>
          <w:color w:val="auto"/>
          <w:szCs w:val="21"/>
          <w:highlight w:val="none"/>
          <w:u w:val="single"/>
        </w:rPr>
        <w:t xml:space="preserve">/  </w:t>
      </w:r>
    </w:p>
    <w:p w14:paraId="26D6F61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15.4保修</w:t>
      </w:r>
    </w:p>
    <w:p w14:paraId="2B42BDB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15.4.1保修责任</w:t>
      </w:r>
    </w:p>
    <w:p w14:paraId="2B3D9B3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工程保修期为：</w:t>
      </w:r>
      <w:r>
        <w:rPr>
          <w:rFonts w:hint="eastAsia" w:ascii="宋体" w:hAnsi="宋体" w:eastAsia="宋体" w:cs="宋体"/>
          <w:color w:val="auto"/>
          <w:szCs w:val="21"/>
          <w:highlight w:val="none"/>
          <w:u w:val="single"/>
        </w:rPr>
        <w:t>详见附件《工程质量保修书》。</w:t>
      </w:r>
    </w:p>
    <w:p w14:paraId="11638E8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15.4.3修复通知</w:t>
      </w:r>
    </w:p>
    <w:p w14:paraId="0ACD618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承包人收到保修通知并到达工程现场的合理时间：</w:t>
      </w:r>
      <w:r>
        <w:rPr>
          <w:rFonts w:hint="eastAsia" w:ascii="宋体" w:hAnsi="宋体" w:eastAsia="宋体" w:cs="宋体"/>
          <w:color w:val="auto"/>
          <w:szCs w:val="21"/>
          <w:highlight w:val="none"/>
          <w:u w:val="single"/>
        </w:rPr>
        <w:t xml:space="preserve">2小时 </w:t>
      </w:r>
    </w:p>
    <w:p w14:paraId="725F76B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16.违约</w:t>
      </w:r>
    </w:p>
    <w:p w14:paraId="2A6BD78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16.1发包人违约</w:t>
      </w:r>
    </w:p>
    <w:p w14:paraId="6247957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16.1.1发包人违约的情形</w:t>
      </w:r>
    </w:p>
    <w:p w14:paraId="3C8EB97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发包人违约的其他情形：</w:t>
      </w:r>
      <w:r>
        <w:rPr>
          <w:rFonts w:hint="eastAsia" w:ascii="宋体" w:hAnsi="宋体" w:eastAsia="宋体" w:cs="宋体"/>
          <w:color w:val="auto"/>
          <w:szCs w:val="21"/>
          <w:highlight w:val="none"/>
          <w:u w:val="single"/>
        </w:rPr>
        <w:t xml:space="preserve"> 无 </w:t>
      </w:r>
    </w:p>
    <w:p w14:paraId="2580F09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16.1.2发包人违约的责任</w:t>
      </w:r>
    </w:p>
    <w:p w14:paraId="63EF160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发包人违约责任的承担方式和计算方法：</w:t>
      </w:r>
    </w:p>
    <w:p w14:paraId="4CB8E826">
      <w:pPr>
        <w:spacing w:line="360" w:lineRule="auto"/>
        <w:ind w:firstLine="44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（1）因发包人原因未能在计划开工日期前7天内下达开工通知的违约责任：</w:t>
      </w:r>
      <w:r>
        <w:rPr>
          <w:rFonts w:hint="eastAsia" w:ascii="宋体" w:hAnsi="宋体" w:eastAsia="宋体" w:cs="宋体"/>
          <w:color w:val="auto"/>
          <w:szCs w:val="21"/>
          <w:highlight w:val="none"/>
          <w:u w:val="single"/>
        </w:rPr>
        <w:t xml:space="preserve"> 由承包人书面提出，并有监理工程师和甲方派驻现场工程师核实确认后，顺延工期，不补偿任何费用  </w:t>
      </w:r>
      <w:r>
        <w:rPr>
          <w:rFonts w:hint="eastAsia" w:ascii="宋体" w:hAnsi="宋体" w:eastAsia="宋体" w:cs="宋体"/>
          <w:color w:val="auto"/>
          <w:szCs w:val="21"/>
          <w:highlight w:val="none"/>
        </w:rPr>
        <w:t>。</w:t>
      </w:r>
    </w:p>
    <w:p w14:paraId="5940307D">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（2）因发包人原因未能按合同约定支付合同价款的违约责任：</w:t>
      </w:r>
      <w:r>
        <w:rPr>
          <w:rFonts w:hint="eastAsia" w:ascii="宋体" w:hAnsi="宋体" w:eastAsia="宋体" w:cs="宋体"/>
          <w:color w:val="auto"/>
          <w:szCs w:val="21"/>
          <w:highlight w:val="none"/>
          <w:u w:val="single"/>
        </w:rPr>
        <w:t xml:space="preserve">不补偿任何费用  </w:t>
      </w:r>
      <w:r>
        <w:rPr>
          <w:rFonts w:hint="eastAsia" w:ascii="宋体" w:hAnsi="宋体" w:eastAsia="宋体" w:cs="宋体"/>
          <w:color w:val="auto"/>
          <w:szCs w:val="21"/>
          <w:highlight w:val="none"/>
        </w:rPr>
        <w:t>。</w:t>
      </w:r>
    </w:p>
    <w:p w14:paraId="488D9139">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（3）发包人违反第10.1款〔变更的范围〕第（2）项约定，自行实施被取消的工作或转由他人实施的违约责任：</w:t>
      </w:r>
      <w:r>
        <w:rPr>
          <w:rFonts w:hint="eastAsia" w:ascii="宋体" w:hAnsi="宋体" w:eastAsia="宋体" w:cs="宋体"/>
          <w:color w:val="auto"/>
          <w:szCs w:val="21"/>
          <w:highlight w:val="none"/>
          <w:u w:val="single"/>
        </w:rPr>
        <w:t>不补偿任何费用</w:t>
      </w:r>
      <w:r>
        <w:rPr>
          <w:rFonts w:hint="eastAsia" w:ascii="宋体" w:hAnsi="宋体" w:eastAsia="宋体" w:cs="宋体"/>
          <w:color w:val="auto"/>
          <w:szCs w:val="21"/>
          <w:highlight w:val="none"/>
        </w:rPr>
        <w:t>。</w:t>
      </w:r>
    </w:p>
    <w:p w14:paraId="08D33003">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Cs w:val="21"/>
          <w:highlight w:val="none"/>
          <w:u w:val="single"/>
        </w:rPr>
        <w:t xml:space="preserve">由承包人书面提出，并有监理工程师和甲方派驻现场工程师核实确认后，顺延工期，不补偿任何费用  </w:t>
      </w:r>
      <w:r>
        <w:rPr>
          <w:rFonts w:hint="eastAsia" w:ascii="宋体" w:hAnsi="宋体" w:eastAsia="宋体" w:cs="宋体"/>
          <w:color w:val="auto"/>
          <w:szCs w:val="21"/>
          <w:highlight w:val="none"/>
        </w:rPr>
        <w:t>。</w:t>
      </w:r>
    </w:p>
    <w:p w14:paraId="641311EF">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（5）因发包人违反合同约定造成暂停施工的违约责任：</w:t>
      </w:r>
      <w:r>
        <w:rPr>
          <w:rFonts w:hint="eastAsia" w:ascii="宋体" w:hAnsi="宋体" w:eastAsia="宋体" w:cs="宋体"/>
          <w:color w:val="auto"/>
          <w:szCs w:val="21"/>
          <w:highlight w:val="none"/>
          <w:u w:val="single"/>
        </w:rPr>
        <w:t>由承包人书面提出，并有监理工程师和甲方派驻现场工程师核实确认后，可酌情延长工期，不补偿任何费用</w:t>
      </w:r>
      <w:r>
        <w:rPr>
          <w:rFonts w:hint="eastAsia" w:ascii="宋体" w:hAnsi="宋体" w:eastAsia="宋体" w:cs="宋体"/>
          <w:color w:val="auto"/>
          <w:szCs w:val="21"/>
          <w:highlight w:val="none"/>
        </w:rPr>
        <w:t>。</w:t>
      </w:r>
    </w:p>
    <w:p w14:paraId="37416F0C">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（6）发包人无正当理由没有在约定期限内发出复工指示，导致承包人无法复工的违约责任：</w:t>
      </w:r>
      <w:r>
        <w:rPr>
          <w:rFonts w:hint="eastAsia" w:ascii="宋体" w:hAnsi="宋体" w:eastAsia="宋体" w:cs="宋体"/>
          <w:color w:val="auto"/>
          <w:szCs w:val="21"/>
          <w:highlight w:val="none"/>
          <w:u w:val="single"/>
        </w:rPr>
        <w:t>由承包人书面提出，并有监理工程师和建设单位代表书面确认后，可酌情延长工期，不补偿任何费用  。</w:t>
      </w:r>
    </w:p>
    <w:p w14:paraId="7765518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w:t>
      </w:r>
    </w:p>
    <w:p w14:paraId="5A779E8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16.1.3因发包人违约解除合同</w:t>
      </w:r>
    </w:p>
    <w:p w14:paraId="1168BF6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承包人按16.1.1项〔发包人违约的情形〕约定暂停施工满</w:t>
      </w:r>
      <w:r>
        <w:rPr>
          <w:rFonts w:hint="eastAsia" w:ascii="宋体" w:hAnsi="宋体" w:eastAsia="宋体" w:cs="宋体"/>
          <w:color w:val="auto"/>
          <w:szCs w:val="21"/>
          <w:highlight w:val="none"/>
          <w:u w:val="single"/>
        </w:rPr>
        <w:t xml:space="preserve">  28 </w:t>
      </w:r>
      <w:r>
        <w:rPr>
          <w:rFonts w:hint="eastAsia" w:ascii="宋体" w:hAnsi="宋体" w:eastAsia="宋体" w:cs="宋体"/>
          <w:color w:val="auto"/>
          <w:szCs w:val="21"/>
          <w:highlight w:val="none"/>
        </w:rPr>
        <w:t>天后发包人仍不纠正其违约行为并致使合同目的不能实现的，承包人有权解除合同。</w:t>
      </w:r>
    </w:p>
    <w:p w14:paraId="5A7D385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16.2承包人违约</w:t>
      </w:r>
    </w:p>
    <w:p w14:paraId="40B8339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16.2.1承包人违约的情形</w:t>
      </w:r>
    </w:p>
    <w:p w14:paraId="40C65C6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承包人违约的其他情形：</w:t>
      </w:r>
    </w:p>
    <w:p w14:paraId="0FA891AD">
      <w:pPr>
        <w:spacing w:line="360" w:lineRule="auto"/>
        <w:ind w:firstLine="44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 因承包人安全文明措施不到位的或未按规定实施的;</w:t>
      </w:r>
    </w:p>
    <w:p w14:paraId="5273AA2E">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 若因承包人原因，导致周边住户和单位投诉或新闻媒体负面曝光;</w:t>
      </w:r>
    </w:p>
    <w:p w14:paraId="0B5B49B6">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 承包人不能按规定上报竣工结算;</w:t>
      </w:r>
    </w:p>
    <w:p w14:paraId="04AF84EA">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 因承包人原因发生保险事故给发包人造成影响的;</w:t>
      </w:r>
    </w:p>
    <w:p w14:paraId="6CE5AF98">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(5) 承包人其他违约情形。</w:t>
      </w:r>
    </w:p>
    <w:p w14:paraId="406F213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16.2.2承包人违约的责任</w:t>
      </w:r>
    </w:p>
    <w:p w14:paraId="7E27715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承包人违约责任的承担方式和计算方法：</w:t>
      </w:r>
    </w:p>
    <w:p w14:paraId="396CB089">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(1)承包人违反合同约定进行转包或违法分包的：按合同价的10%进行处罚，并从工程款中直接扣除，经发包人要求仍未整改到位或情节严重的清除出场；</w:t>
      </w:r>
    </w:p>
    <w:p w14:paraId="3F6DB25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(2)承包人违反合同约定采购和使用不合格的材料和工程设备的：按发包人要求进行整改，并按材料和工程设备价款的20%进行处罚，并从工程款中直接扣除；</w:t>
      </w:r>
    </w:p>
    <w:p w14:paraId="7B7D33D4">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(3)因承包人原因导致工程质量不符合合同要求的：限期整改，工期不延长； </w:t>
      </w:r>
    </w:p>
    <w:p w14:paraId="38FDFBC7">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(4)承包人违反第8.9款〔材料与设备专用要求〕的约定，未经批准，私自将已按照合同约定进入施工现场的材料或设备撤离施工现场的：限期整改，工期不延长； </w:t>
      </w:r>
    </w:p>
    <w:p w14:paraId="74434427">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56CB50F7">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(6)承包人明确表示或者以其行为表明不履行合同主要义务的：清除出场；发包人有损失的，发包人有权要求承包人进行赔偿，并上报建设主管部门；</w:t>
      </w:r>
    </w:p>
    <w:p w14:paraId="46AA2F20">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(7) 因承包人安全文明措施不到位的或未按规定实施的，在接发包人通知后3天内未按书面通知要求整改的，承包人须按5000元/次向发包人支付违约金。同时发包人有权另行安排他人完成，费用在承包人工程款中扣除。</w:t>
      </w:r>
    </w:p>
    <w:p w14:paraId="31A77587">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 若因承包人原因，导致周边住户和单位投诉或新闻媒体负面曝光的，承包人需承担由此产生的一切后果和费用。每曝光一次承包人需向发包人支付10000元的违约金。</w:t>
      </w:r>
    </w:p>
    <w:p w14:paraId="2F585DCF">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 如承包人不能按规定上报竣工结算，承包人需向发包人支付3000元/天的违约金。违约金从工程竣工结算款中扣除。相关条款涉及的费用除已明确由发包人承担的，均已包含在承包人的总价中。</w:t>
      </w:r>
    </w:p>
    <w:p w14:paraId="4D31FE59">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 如因承包人原因发生保险事故给发包人造成影响的，承包人承担违约责任，需向发包人支付保险赔付金20％的违约金。</w:t>
      </w:r>
    </w:p>
    <w:p w14:paraId="73F3705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因承包人原因导致工期滞后, 自单位工程实际阶段节点工期滞后于单位工程进度计划阶段进度节点第1天起，承包人向发包人支付工期滞后违约金，每天按合同价款的千分之一向发包人支付违约金，违约金在最近一次支付工程进度款时扣除，累加计算。自单位工程实际阶段节点工期滞后于单位工程进度计划阶段进度节点第6天起，承包人向发包人支付工期滞后违约金，每天按合同价款的千分之三向发包人支付违约金，违约金在最近一次支付工程进度款时扣除，累加计算。若工期滞后超过10天，承包人自第11天起按合同价款的千分之六向发包人支付违约金，违约金在最近一次支付工程进度款时扣除，累加计算。对节点工期严重滞后且未采取有效赶工措施，将导致工程延期超过15天的，发包人有权终止合同，更换施工单位，由此造成的一切损失并追究承包人违约责任。</w:t>
      </w:r>
    </w:p>
    <w:p w14:paraId="38978E82">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对严重违约需清除出场的承包人，发包人将其情况书面报告当地及企业所在地建设行政主管部门，向承包人书面提出限期清场的要求并登报公示。</w:t>
      </w:r>
    </w:p>
    <w:p w14:paraId="3240A62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16.2.3因承包人违约解除合同</w:t>
      </w:r>
    </w:p>
    <w:p w14:paraId="56F5C61A">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关于承包人违约解除合同的特别约定：</w:t>
      </w:r>
      <w:r>
        <w:rPr>
          <w:rFonts w:hint="eastAsia" w:ascii="宋体" w:hAnsi="宋体" w:eastAsia="宋体" w:cs="宋体"/>
          <w:color w:val="auto"/>
          <w:szCs w:val="21"/>
          <w:highlight w:val="none"/>
          <w:u w:val="single"/>
        </w:rPr>
        <w:t>执行通用条款</w:t>
      </w:r>
    </w:p>
    <w:p w14:paraId="4DA2C35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发包人继续使用承包人在施工现场的材料、设备、临</w:t>
      </w:r>
      <w:r>
        <w:rPr>
          <w:rFonts w:hint="eastAsia" w:ascii="宋体" w:hAnsi="宋体" w:eastAsia="宋体" w:cs="宋体"/>
          <w:color w:val="auto"/>
          <w:szCs w:val="21"/>
          <w:highlight w:val="none"/>
          <w:lang w:eastAsia="zh-CN"/>
        </w:rPr>
        <w:t>王工</w:t>
      </w:r>
      <w:r>
        <w:rPr>
          <w:rFonts w:hint="eastAsia" w:ascii="宋体" w:hAnsi="宋体" w:eastAsia="宋体" w:cs="宋体"/>
          <w:color w:val="auto"/>
          <w:szCs w:val="21"/>
          <w:highlight w:val="none"/>
        </w:rPr>
        <w:t>程、承包人文件和由承包人或以其名义编制的其他文件的费用承担方式：</w:t>
      </w:r>
      <w:r>
        <w:rPr>
          <w:rFonts w:hint="eastAsia" w:ascii="宋体" w:hAnsi="宋体" w:eastAsia="宋体" w:cs="宋体"/>
          <w:color w:val="auto"/>
          <w:szCs w:val="21"/>
          <w:highlight w:val="none"/>
          <w:u w:val="single"/>
        </w:rPr>
        <w:t xml:space="preserve">发包人有权无偿使用。发包人继续使用的行为不免除或减轻承包人应承担的违约责任 </w:t>
      </w:r>
      <w:r>
        <w:rPr>
          <w:rFonts w:hint="eastAsia" w:ascii="宋体" w:hAnsi="宋体" w:eastAsia="宋体" w:cs="宋体"/>
          <w:color w:val="auto"/>
          <w:szCs w:val="21"/>
          <w:highlight w:val="none"/>
        </w:rPr>
        <w:t>。</w:t>
      </w:r>
    </w:p>
    <w:p w14:paraId="0B63C55B">
      <w:pPr>
        <w:spacing w:line="460" w:lineRule="exact"/>
        <w:ind w:firstLine="442"/>
        <w:rPr>
          <w:rFonts w:hint="eastAsia" w:ascii="宋体" w:hAnsi="宋体" w:eastAsia="宋体" w:cs="宋体"/>
          <w:b/>
          <w:color w:val="auto"/>
          <w:sz w:val="32"/>
          <w:highlight w:val="none"/>
        </w:rPr>
      </w:pPr>
      <w:r>
        <w:rPr>
          <w:rFonts w:hint="eastAsia" w:ascii="宋体" w:hAnsi="宋体" w:eastAsia="宋体" w:cs="宋体"/>
          <w:b/>
          <w:color w:val="auto"/>
          <w:highlight w:val="none"/>
        </w:rPr>
        <w:t>签订合同后被发现存在出借（挂靠）资质的行为，愿意无条件接受被取消中标（承包）资格、投标保证金不予退还、履约保证金不予退还、合同解除及清除出场，一切损失自行承担。</w:t>
      </w:r>
    </w:p>
    <w:p w14:paraId="6D33768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17.不可抗力</w:t>
      </w:r>
    </w:p>
    <w:p w14:paraId="6357A7D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17.1不可抗力的确认</w:t>
      </w:r>
    </w:p>
    <w:p w14:paraId="7657EF1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除通用合同条款约定的不可抗力事件之外，视为不可抗力的其他情形</w:t>
      </w:r>
      <w:r>
        <w:rPr>
          <w:rFonts w:hint="eastAsia" w:ascii="宋体" w:hAnsi="宋体" w:eastAsia="宋体" w:cs="宋体"/>
          <w:color w:val="auto"/>
          <w:szCs w:val="21"/>
          <w:highlight w:val="none"/>
          <w:u w:val="single"/>
        </w:rPr>
        <w:t xml:space="preserve">： 战争、动乱、空中飞行物体坠落以及洪水、地震、重大疫情等 </w:t>
      </w:r>
      <w:r>
        <w:rPr>
          <w:rFonts w:hint="eastAsia" w:ascii="宋体" w:hAnsi="宋体" w:eastAsia="宋体" w:cs="宋体"/>
          <w:color w:val="auto"/>
          <w:szCs w:val="21"/>
          <w:highlight w:val="none"/>
        </w:rPr>
        <w:t>。</w:t>
      </w:r>
    </w:p>
    <w:p w14:paraId="7EE6C4B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17.4因不可抗力解除合同</w:t>
      </w:r>
    </w:p>
    <w:p w14:paraId="4046A68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合同解除后，发包人应在商定或确定发包人应支付款项后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28</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天内完成款项的支付。</w:t>
      </w:r>
    </w:p>
    <w:p w14:paraId="53046B7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18.保险</w:t>
      </w:r>
    </w:p>
    <w:p w14:paraId="4A0523E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18.1工程保险</w:t>
      </w:r>
    </w:p>
    <w:p w14:paraId="4E2C4D29">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关于工程保险的特别约定：</w:t>
      </w:r>
    </w:p>
    <w:p w14:paraId="60FA5B6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p>
    <w:p w14:paraId="6A149867">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第三者责任险由承包人办理，以承包人与发包人名义联名投保，投保条件与保险费率由承包人根据江苏省保险行业协会有关工程保险的相关规定自行考虑，该项费用含在合同价中。</w:t>
      </w:r>
    </w:p>
    <w:p w14:paraId="2E8BA779">
      <w:pPr>
        <w:spacing w:line="360" w:lineRule="auto"/>
        <w:ind w:firstLine="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p>
    <w:p w14:paraId="3B00B43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18.3其他保险</w:t>
      </w:r>
    </w:p>
    <w:p w14:paraId="57083C9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关于其他保险的约定：</w:t>
      </w:r>
    </w:p>
    <w:p w14:paraId="1C87CF4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保险合同需经发包人审批。</w:t>
      </w:r>
    </w:p>
    <w:p w14:paraId="3CC7965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保险事故发生时，承包人有责任尽力采取必要的措施，防止或者减少损失。</w:t>
      </w:r>
    </w:p>
    <w:p w14:paraId="0E184EF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如发生保险事故时，承包人应负责向保险公司索赔及办理赔付事宜。</w:t>
      </w:r>
    </w:p>
    <w:p w14:paraId="5E913117">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 合同生效后，承包人必须在工程开工前办理保险，如承包人未办理保险的，发包人有权从工程进度款中扣除此工程保险费用,直接选择保险人。</w:t>
      </w:r>
    </w:p>
    <w:p w14:paraId="0266EF08">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承包人是否应为其施工设备等办理财产保险：</w:t>
      </w:r>
      <w:r>
        <w:rPr>
          <w:rFonts w:hint="eastAsia" w:ascii="宋体" w:hAnsi="宋体" w:eastAsia="宋体" w:cs="宋体"/>
          <w:color w:val="auto"/>
          <w:szCs w:val="21"/>
          <w:highlight w:val="none"/>
          <w:u w:val="single"/>
        </w:rPr>
        <w:t xml:space="preserve"> 是 </w:t>
      </w:r>
    </w:p>
    <w:p w14:paraId="64D8FE9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18.7通知义务</w:t>
      </w:r>
    </w:p>
    <w:p w14:paraId="05C2065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关于变更保险合同时的通知义务的约定：</w:t>
      </w:r>
    </w:p>
    <w:p w14:paraId="35B9BFD1">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执行通用条款 </w:t>
      </w:r>
    </w:p>
    <w:p w14:paraId="5EE1FB8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20.争议解决</w:t>
      </w:r>
    </w:p>
    <w:p w14:paraId="20745DA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20.3争议评审</w:t>
      </w:r>
    </w:p>
    <w:p w14:paraId="0270FB5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合同当事人是否同意将工程争议提交争议评审小组决定：</w:t>
      </w:r>
    </w:p>
    <w:p w14:paraId="4CEFE0B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不提交 </w:t>
      </w:r>
    </w:p>
    <w:p w14:paraId="4997966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20.3.1争议评审小组的确定</w:t>
      </w:r>
    </w:p>
    <w:p w14:paraId="543EB85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争议评审小组成员的确定：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692B94B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选定争议评审员的期限：</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1DEAB9E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争议评审小组成员的报酬承担方式：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07264EB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其他事项的约定：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1BEEF3E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20.3.2争议评审小组的决定</w:t>
      </w:r>
    </w:p>
    <w:p w14:paraId="12C1396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合同当事人关于本项的约定：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2F65151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20.4仲裁或诉讼</w:t>
      </w:r>
    </w:p>
    <w:p w14:paraId="778C8F3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因合同及合同有关事项发生的争议，按下列第</w:t>
      </w:r>
      <w:r>
        <w:rPr>
          <w:rFonts w:hint="eastAsia" w:ascii="宋体" w:hAnsi="宋体" w:eastAsia="宋体" w:cs="宋体"/>
          <w:color w:val="auto"/>
          <w:szCs w:val="21"/>
          <w:highlight w:val="none"/>
          <w:u w:val="single"/>
        </w:rPr>
        <w:t xml:space="preserve"> （</w:t>
      </w:r>
      <w:r>
        <w:rPr>
          <w:rFonts w:hint="eastAsia"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种方式解决：</w:t>
      </w:r>
    </w:p>
    <w:p w14:paraId="0A1250A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w:t>
      </w:r>
      <w:r>
        <w:rPr>
          <w:rFonts w:hint="eastAsia"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仲裁委员会申请仲裁；</w:t>
      </w:r>
    </w:p>
    <w:p w14:paraId="551A4AD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(2)向</w:t>
      </w:r>
      <w:r>
        <w:rPr>
          <w:rFonts w:hint="eastAsia" w:ascii="宋体" w:hAnsi="宋体" w:eastAsia="宋体" w:cs="宋体"/>
          <w:color w:val="auto"/>
          <w:szCs w:val="21"/>
          <w:highlight w:val="none"/>
          <w:u w:val="single"/>
        </w:rPr>
        <w:t xml:space="preserve"> 项目所在地 </w:t>
      </w:r>
      <w:r>
        <w:rPr>
          <w:rFonts w:hint="eastAsia" w:ascii="宋体" w:hAnsi="宋体" w:eastAsia="宋体" w:cs="宋体"/>
          <w:color w:val="auto"/>
          <w:szCs w:val="21"/>
          <w:highlight w:val="none"/>
        </w:rPr>
        <w:t>人民法院起诉。</w:t>
      </w:r>
    </w:p>
    <w:p w14:paraId="2196451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其他：因诉讼而产生的诉讼费、律师费、差旅费、文印费等费用由违约方承担。</w:t>
      </w:r>
    </w:p>
    <w:p w14:paraId="4FC4DFD4">
      <w:pPr>
        <w:spacing w:line="360" w:lineRule="auto"/>
        <w:ind w:firstLine="440"/>
        <w:rPr>
          <w:rFonts w:hint="eastAsia" w:ascii="宋体" w:hAnsi="宋体" w:eastAsia="宋体" w:cs="宋体"/>
          <w:color w:val="auto"/>
          <w:szCs w:val="21"/>
          <w:highlight w:val="none"/>
        </w:rPr>
      </w:pPr>
      <w:bookmarkStart w:id="17" w:name="_Toc408329828"/>
      <w:r>
        <w:rPr>
          <w:rFonts w:hint="eastAsia" w:ascii="宋体" w:hAnsi="宋体" w:eastAsia="宋体" w:cs="宋体"/>
          <w:color w:val="auto"/>
          <w:szCs w:val="21"/>
          <w:highlight w:val="none"/>
        </w:rPr>
        <w:t>21 补充条款</w:t>
      </w:r>
      <w:bookmarkEnd w:id="17"/>
    </w:p>
    <w:p w14:paraId="39E7044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57199CB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2960C34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5886DBE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21.4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3034536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21.5无论任何时期，发包人有权在本合同所属工程范围内根据整个项目的实际施工进度，将工程分阶段开工与竣工。承包人已被视为在报价中考虑此因素。</w:t>
      </w:r>
    </w:p>
    <w:p w14:paraId="1EFBEC9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21.6承包人应将施工中产生的多余建筑垃圾清运出场，其外运堆放场地及运距由承包人事先</w:t>
      </w:r>
      <w:r>
        <w:rPr>
          <w:rFonts w:hint="eastAsia" w:cs="宋体"/>
          <w:color w:val="auto"/>
          <w:szCs w:val="21"/>
          <w:highlight w:val="none"/>
          <w:lang w:eastAsia="zh-CN"/>
        </w:rPr>
        <w:t>勘查现场</w:t>
      </w:r>
      <w:r>
        <w:rPr>
          <w:rFonts w:hint="eastAsia" w:ascii="宋体" w:hAnsi="宋体" w:eastAsia="宋体" w:cs="宋体"/>
          <w:color w:val="auto"/>
          <w:szCs w:val="21"/>
          <w:highlight w:val="none"/>
        </w:rPr>
        <w:t>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6CB9871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5EC0933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21.8本合同价中应包括防洪、防风、暴雨措施所需要的一切费用。</w:t>
      </w:r>
    </w:p>
    <w:p w14:paraId="40C73E3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21.9施工过程中与周围发生的纠纷由承包人自行协商解决，费用由承包人自理，该费用应包含在合同价中。</w:t>
      </w:r>
    </w:p>
    <w:p w14:paraId="00E6D54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473DD37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21.11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p>
    <w:p w14:paraId="1CFB48E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21.12施工期间承包人必须配合相关单位做好文明施工及安全的工作，否则发包人及总包方有权进行对其经济处罚。承包人应负责自己施工范围内的垃圾清运至总包方指定地点，由总包方统一外运处理。</w:t>
      </w:r>
    </w:p>
    <w:p w14:paraId="1B6216B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21.13承包人负责本工程竣工资料的整理，保证资料符合要求，及时报送总包并配合总包整体工程竣工验收。因资料移交不及时及工程质量导致竣工验收或竣工备案延误的，按工期延误处理。</w:t>
      </w:r>
    </w:p>
    <w:p w14:paraId="4B76694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p>
    <w:p w14:paraId="548B90F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21.15承包人应对现场作业、施工方法及施工过程的完整性、稳定性和安全性承担全部责任，负责完成对工程的稳定、完整、安全、可靠及有效运行所必需的全部工作。</w:t>
      </w:r>
    </w:p>
    <w:p w14:paraId="3CF6476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21.16施工过程中周围发生的阻扰施工的各类民扰、矛盾及纠纷由承包人自行协商解决，费用由承包人自理，该费用应包含在合同价中。</w:t>
      </w:r>
    </w:p>
    <w:p w14:paraId="5AE9853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21.17若工程质量不符合施工验收规范及设计要求的，承包人按要求须在限期内返工或需采取其他补救措施达到合格标准，所发生的费用均由承包人承担。</w:t>
      </w:r>
    </w:p>
    <w:p w14:paraId="59BBF9F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21.18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p>
    <w:p w14:paraId="2BF315B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21.19施工过程中及时清运因本工程产生之建筑垃圾，保持现场的整洁，创文明施工现场，所有建筑垃圾应清理出施工区域按有关规定处理，否则由此引起的一切损失或产生的费用由乙方负责。</w:t>
      </w:r>
    </w:p>
    <w:p w14:paraId="3AF7813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21.20农民工工资发放：承包人须切实做好工地施工人员的思想稳定工作，不得拖欠民工工资，如因承包方原因造成不良后果，发包人将取消该承包人今后在发包人的投标资格。若该工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农民工资部分存至专有账户，确保专款专用。</w:t>
      </w:r>
    </w:p>
    <w:p w14:paraId="71B1980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w:t>
      </w:r>
    </w:p>
    <w:p w14:paraId="055E926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p>
    <w:p w14:paraId="1457AC71">
      <w:pPr>
        <w:spacing w:line="360" w:lineRule="auto"/>
        <w:ind w:firstLine="44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21.</w:t>
      </w:r>
      <w:r>
        <w:rPr>
          <w:rFonts w:hint="eastAsia" w:ascii="宋体" w:hAnsi="宋体" w:eastAsia="宋体" w:cs="宋体"/>
          <w:b/>
          <w:bCs/>
          <w:color w:val="auto"/>
          <w:szCs w:val="21"/>
          <w:highlight w:val="none"/>
          <w:lang w:val="en-US" w:eastAsia="zh-CN"/>
        </w:rPr>
        <w:t>23</w:t>
      </w:r>
      <w:r>
        <w:rPr>
          <w:rFonts w:hint="eastAsia" w:ascii="宋体" w:hAnsi="宋体" w:eastAsia="宋体" w:cs="宋体"/>
          <w:b/>
          <w:bCs/>
          <w:color w:val="auto"/>
          <w:szCs w:val="21"/>
          <w:highlight w:val="none"/>
        </w:rPr>
        <w:t xml:space="preserve"> 双方约定，工程竣工结算要接受发包人委托的审计单位审计。审计以承包人送审价为基数，经审计，审减额在5%以内的由发包人承担审计费用；若审减额超过5%，则由承包人承担审减额超过5%部分的审计费用。</w:t>
      </w:r>
    </w:p>
    <w:p w14:paraId="749E95EB">
      <w:pPr>
        <w:spacing w:line="360" w:lineRule="auto"/>
        <w:ind w:firstLine="442"/>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21.24投标报价中有不均衡报价的，报价过高的清单项，结算时超出原清单工程量部分的单价按当前江苏省定额进行组价后同比例下浮（承包人报价浮动率）</w:t>
      </w:r>
      <w:r>
        <w:rPr>
          <w:rFonts w:hint="eastAsia" w:ascii="宋体" w:hAnsi="宋体" w:eastAsia="宋体" w:cs="宋体"/>
          <w:b/>
          <w:bCs/>
          <w:color w:val="auto"/>
          <w:szCs w:val="21"/>
          <w:highlight w:val="none"/>
          <w:lang w:eastAsia="zh-CN"/>
        </w:rPr>
        <w:t>。</w:t>
      </w:r>
    </w:p>
    <w:p w14:paraId="226517A2">
      <w:pPr>
        <w:spacing w:line="360" w:lineRule="auto"/>
        <w:ind w:firstLine="442"/>
        <w:rPr>
          <w:rFonts w:hint="default" w:ascii="宋体" w:hAnsi="宋体" w:eastAsia="宋体" w:cs="宋体"/>
          <w:b/>
          <w:bCs/>
          <w:color w:val="auto"/>
          <w:szCs w:val="21"/>
          <w:highlight w:val="none"/>
          <w:lang w:val="en-US" w:eastAsia="zh-CN"/>
        </w:rPr>
      </w:pPr>
      <w:r>
        <w:rPr>
          <w:rFonts w:hint="eastAsia" w:cs="宋体"/>
          <w:b/>
          <w:bCs/>
          <w:color w:val="auto"/>
          <w:szCs w:val="21"/>
          <w:highlight w:val="none"/>
          <w:lang w:val="en-US" w:eastAsia="zh-CN"/>
        </w:rPr>
        <w:t>21.25施工过程中所有材料、构件等检验、检测费均由供应商在磋商响应报价时根据自身预测自行报价，计入磋商响应报价，施工过程中发生的一切材料检测费用均由成交人支付（包括新材料、新工艺、新设备的实验费及环境检测费等）。</w:t>
      </w:r>
    </w:p>
    <w:p w14:paraId="7C8D14FC">
      <w:pPr>
        <w:pStyle w:val="60"/>
        <w:rPr>
          <w:rFonts w:hint="eastAsia" w:ascii="宋体" w:hAnsi="宋体" w:eastAsia="宋体" w:cs="宋体"/>
          <w:color w:val="auto"/>
          <w:highlight w:val="none"/>
        </w:rPr>
      </w:pPr>
    </w:p>
    <w:bookmarkEnd w:id="8"/>
    <w:bookmarkEnd w:id="9"/>
    <w:bookmarkEnd w:id="10"/>
    <w:p w14:paraId="6C07005E">
      <w:pPr>
        <w:pStyle w:val="5"/>
        <w:jc w:val="center"/>
        <w:rPr>
          <w:rFonts w:hint="eastAsia" w:ascii="宋体" w:hAnsi="宋体" w:eastAsia="宋体" w:cs="宋体"/>
          <w:color w:val="auto"/>
          <w:highlight w:val="none"/>
        </w:rPr>
      </w:pPr>
    </w:p>
    <w:p w14:paraId="0D28FA7F">
      <w:pPr>
        <w:spacing w:line="360" w:lineRule="auto"/>
        <w:jc w:val="left"/>
        <w:rPr>
          <w:rFonts w:hint="eastAsia" w:ascii="宋体" w:hAnsi="宋体" w:eastAsia="宋体" w:cs="宋体"/>
          <w:color w:val="auto"/>
          <w:sz w:val="24"/>
          <w:highlight w:val="none"/>
        </w:rPr>
      </w:pPr>
    </w:p>
    <w:p w14:paraId="2DD47976">
      <w:pPr>
        <w:spacing w:line="360" w:lineRule="auto"/>
        <w:jc w:val="left"/>
        <w:rPr>
          <w:rFonts w:hint="eastAsia" w:ascii="宋体" w:hAnsi="宋体" w:eastAsia="宋体" w:cs="宋体"/>
          <w:color w:val="auto"/>
          <w:sz w:val="24"/>
          <w:highlight w:val="none"/>
        </w:rPr>
      </w:pPr>
    </w:p>
    <w:p w14:paraId="03B5331F">
      <w:pPr>
        <w:spacing w:line="360" w:lineRule="auto"/>
        <w:jc w:val="left"/>
        <w:rPr>
          <w:rFonts w:hint="eastAsia" w:ascii="宋体" w:hAnsi="宋体" w:eastAsia="宋体" w:cs="宋体"/>
          <w:color w:val="auto"/>
          <w:sz w:val="24"/>
          <w:highlight w:val="none"/>
        </w:rPr>
      </w:pPr>
    </w:p>
    <w:p w14:paraId="739D69ED">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6F6E4CEA">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附件1</w:t>
      </w:r>
    </w:p>
    <w:p w14:paraId="38F7953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工程质量保修书</w:t>
      </w:r>
    </w:p>
    <w:p w14:paraId="74AE354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56BF689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4EB5D02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发包人和承包人根据《中华人民共和国建筑法》和《建设工程质量管理条例》，经协商一致就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（工程全称）签订工程质量保修书。</w:t>
      </w:r>
    </w:p>
    <w:p w14:paraId="3111C58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一、工程质量保修范围和内容</w:t>
      </w:r>
    </w:p>
    <w:p w14:paraId="22160F6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承包人在质量保修期内，按照有关法律规定和合同约定，承担工程质量保修责任。</w:t>
      </w:r>
    </w:p>
    <w:p w14:paraId="04F1605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质量保修范围包括图纸及清单中工作内容等。</w:t>
      </w:r>
    </w:p>
    <w:p w14:paraId="6693C5C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二、质量保修期</w:t>
      </w:r>
    </w:p>
    <w:p w14:paraId="2622DFA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根据《建设工程质量管理条例》及有关规定，工程的质量保修期如下：</w:t>
      </w:r>
    </w:p>
    <w:p w14:paraId="20C81AB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1．地基基础工程和主体结构工程为设计文件规定的工程合理使用年限；</w:t>
      </w:r>
    </w:p>
    <w:p w14:paraId="4899455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2．屋面防水工程、有防水要求的卫生间、房间和外墙面的防渗为</w:t>
      </w:r>
      <w:r>
        <w:rPr>
          <w:rFonts w:hint="eastAsia" w:ascii="宋体" w:hAnsi="宋体" w:eastAsia="宋体" w:cs="宋体"/>
          <w:color w:val="auto"/>
          <w:szCs w:val="21"/>
          <w:highlight w:val="none"/>
          <w:u w:val="single"/>
        </w:rPr>
        <w:t xml:space="preserve">  5  </w:t>
      </w:r>
      <w:r>
        <w:rPr>
          <w:rFonts w:hint="eastAsia" w:ascii="宋体" w:hAnsi="宋体" w:eastAsia="宋体" w:cs="宋体"/>
          <w:color w:val="auto"/>
          <w:szCs w:val="21"/>
          <w:highlight w:val="none"/>
        </w:rPr>
        <w:t>年；</w:t>
      </w:r>
    </w:p>
    <w:p w14:paraId="6596DB3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3．装修工程为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年；</w:t>
      </w:r>
    </w:p>
    <w:p w14:paraId="69D5520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4．电气管线、给排水管道、设备安装工程为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年；</w:t>
      </w:r>
    </w:p>
    <w:p w14:paraId="4873EAA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5．供热与供冷系统为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个采暖期、供冷期；</w:t>
      </w:r>
    </w:p>
    <w:p w14:paraId="5FB62CE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6．住宅小区内的给排水设施、道路等配套工程为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年；</w:t>
      </w:r>
    </w:p>
    <w:p w14:paraId="0C4C07C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7.其他项目保修期限约定如下：所有项目保修期限</w:t>
      </w:r>
      <w:r>
        <w:rPr>
          <w:rFonts w:hint="eastAsia" w:ascii="宋体" w:hAnsi="宋体" w:eastAsia="宋体" w:cs="宋体"/>
          <w:color w:val="auto"/>
          <w:szCs w:val="21"/>
          <w:highlight w:val="none"/>
          <w:u w:val="single"/>
        </w:rPr>
        <w:t xml:space="preserve"> 不低于2年 </w:t>
      </w:r>
      <w:r>
        <w:rPr>
          <w:rFonts w:hint="eastAsia" w:ascii="宋体" w:hAnsi="宋体" w:eastAsia="宋体" w:cs="宋体"/>
          <w:color w:val="auto"/>
          <w:szCs w:val="21"/>
          <w:highlight w:val="none"/>
        </w:rPr>
        <w:t>。</w:t>
      </w:r>
    </w:p>
    <w:p w14:paraId="0EBCF6D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质量保修期自工程竣工验收合格之日起计算。</w:t>
      </w:r>
    </w:p>
    <w:p w14:paraId="2A19BE6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三、缺陷责任期</w:t>
      </w:r>
    </w:p>
    <w:p w14:paraId="7DFA891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工程缺陷责任期为</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个月，缺陷责任期自工程实际竣工之日起计算。单位工程先于全部工程进行验收，单位工程缺陷责任期自单位工程验收合格之日起算。</w:t>
      </w:r>
    </w:p>
    <w:p w14:paraId="329EC8C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缺陷责任期终止后，发包人应退还剩余的质量保证金。</w:t>
      </w:r>
    </w:p>
    <w:p w14:paraId="0CEB078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四、质量保修责任</w:t>
      </w:r>
    </w:p>
    <w:p w14:paraId="450D0D5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1．属于保修范围、内容的项目，承包人应当在接到保修通知之日起7天内派人保修。承包人不在约定期限内派人保修的，发包人可以委托他人修理。</w:t>
      </w:r>
    </w:p>
    <w:p w14:paraId="6D5D6AB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2．发生紧急事故需抢修的，承包人在接到事故通知后，应当立即到达事故现场抢修。</w:t>
      </w:r>
    </w:p>
    <w:p w14:paraId="6125732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6282E8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4．质量保修完成后，由发包人组织验收。</w:t>
      </w:r>
    </w:p>
    <w:p w14:paraId="6D680CB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五、保修费用</w:t>
      </w:r>
    </w:p>
    <w:p w14:paraId="653AC97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保修费用由造成质量缺陷的责任方承担。</w:t>
      </w:r>
    </w:p>
    <w:p w14:paraId="38602E44">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六、双方约定的其他工程质量保修事项：</w:t>
      </w:r>
      <w:r>
        <w:rPr>
          <w:rFonts w:hint="eastAsia" w:ascii="宋体" w:hAnsi="宋体" w:eastAsia="宋体" w:cs="宋体"/>
          <w:color w:val="auto"/>
          <w:szCs w:val="21"/>
          <w:highlight w:val="none"/>
          <w:u w:val="single"/>
        </w:rPr>
        <w:t>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rFonts w:hint="eastAsia" w:ascii="宋体" w:hAnsi="宋体" w:eastAsia="宋体" w:cs="宋体"/>
          <w:color w:val="auto"/>
          <w:szCs w:val="21"/>
          <w:highlight w:val="none"/>
        </w:rPr>
        <w:t>。</w:t>
      </w:r>
    </w:p>
    <w:p w14:paraId="21518A9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工程质量保修书由发包人、承包人在工程竣工验收前共同签署，作为施工合同附件，其有效期限至保修期满。</w:t>
      </w:r>
    </w:p>
    <w:p w14:paraId="76263880">
      <w:pPr>
        <w:spacing w:line="360" w:lineRule="auto"/>
        <w:ind w:firstLine="420"/>
        <w:rPr>
          <w:rFonts w:hint="eastAsia" w:ascii="宋体" w:hAnsi="宋体" w:eastAsia="宋体" w:cs="宋体"/>
          <w:color w:val="auto"/>
          <w:szCs w:val="21"/>
          <w:highlight w:val="none"/>
        </w:rPr>
      </w:pPr>
    </w:p>
    <w:p w14:paraId="680795E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发包人(公章)：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承包人(公章)：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288C243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p>
    <w:p w14:paraId="2DA498E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法定代表人(签字)：</w:t>
      </w:r>
      <w:r>
        <w:rPr>
          <w:rFonts w:hint="eastAsia" w:ascii="宋体" w:hAnsi="宋体" w:eastAsia="宋体" w:cs="宋体"/>
          <w:color w:val="auto"/>
          <w:szCs w:val="21"/>
          <w:highlight w:val="none"/>
          <w:u w:val="single"/>
        </w:rPr>
        <w:t xml:space="preserve">         </w:t>
      </w:r>
    </w:p>
    <w:p w14:paraId="127642E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委托代理人(签字)：</w:t>
      </w:r>
      <w:r>
        <w:rPr>
          <w:rFonts w:hint="eastAsia" w:ascii="宋体" w:hAnsi="宋体" w:eastAsia="宋体" w:cs="宋体"/>
          <w:color w:val="auto"/>
          <w:szCs w:val="21"/>
          <w:highlight w:val="none"/>
          <w:u w:val="single"/>
        </w:rPr>
        <w:t xml:space="preserve">         </w:t>
      </w:r>
    </w:p>
    <w:p w14:paraId="7A3FBEB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p>
    <w:p w14:paraId="3455EC9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p>
    <w:p w14:paraId="710F2D2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p>
    <w:p w14:paraId="56B0D24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p>
    <w:p w14:paraId="6F50D523">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p>
    <w:p w14:paraId="40CAAEF4">
      <w:pPr>
        <w:spacing w:line="360" w:lineRule="auto"/>
        <w:ind w:firstLine="480"/>
        <w:rPr>
          <w:rFonts w:hint="eastAsia" w:ascii="宋体" w:hAnsi="宋体" w:eastAsia="宋体" w:cs="宋体"/>
          <w:color w:val="auto"/>
          <w:sz w:val="24"/>
          <w:highlight w:val="none"/>
        </w:rPr>
      </w:pPr>
    </w:p>
    <w:p w14:paraId="2F5DAD42">
      <w:pPr>
        <w:spacing w:line="360" w:lineRule="auto"/>
        <w:ind w:firstLine="480"/>
        <w:rPr>
          <w:rFonts w:hint="eastAsia" w:ascii="宋体" w:hAnsi="宋体" w:eastAsia="宋体" w:cs="宋体"/>
          <w:color w:val="auto"/>
          <w:sz w:val="24"/>
          <w:highlight w:val="none"/>
        </w:rPr>
      </w:pPr>
    </w:p>
    <w:p w14:paraId="4483DF36">
      <w:pPr>
        <w:spacing w:line="360" w:lineRule="auto"/>
        <w:ind w:firstLine="480"/>
        <w:rPr>
          <w:rFonts w:hint="eastAsia" w:ascii="宋体" w:hAnsi="宋体" w:eastAsia="宋体" w:cs="宋体"/>
          <w:color w:val="auto"/>
          <w:sz w:val="24"/>
          <w:highlight w:val="none"/>
        </w:rPr>
      </w:pPr>
    </w:p>
    <w:p w14:paraId="230A5A9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3F97FD43">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72A257AE">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附件2</w:t>
      </w:r>
    </w:p>
    <w:p w14:paraId="6446BAC0">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中标人诚信承诺书</w:t>
      </w:r>
    </w:p>
    <w:p w14:paraId="42502019">
      <w:pPr>
        <w:spacing w:line="360" w:lineRule="auto"/>
        <w:ind w:firstLine="480"/>
        <w:rPr>
          <w:rFonts w:hint="eastAsia" w:ascii="宋体" w:hAnsi="宋体" w:eastAsia="宋体" w:cs="宋体"/>
          <w:color w:val="auto"/>
          <w:sz w:val="24"/>
          <w:highlight w:val="none"/>
        </w:rPr>
      </w:pPr>
    </w:p>
    <w:p w14:paraId="4820963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我单位系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（中标人）作为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（建设单位）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标段名称）的中标人，我单位郑重承诺，我单位在该项目标段的投标工作中所出具的有文件资料（如单位资质证书、建造师或总监证书、单位及建造师、总监业绩证明等）均是真实有效的，我单位对该中标标段拟派遣建造师（或总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将严格按照投标文件及合同约定的内容、期限等积极到场开展工作，若我单位投标过程中提供的资审资料及投标文件有伪造事实以及建造师（总监）未按合同约定开展现场工作，经查实后，我单位愿意接受相关法律的处罚，并承担作为不良行为公示所产生的一切后果。</w:t>
      </w:r>
    </w:p>
    <w:p w14:paraId="5EB5FDF3">
      <w:pPr>
        <w:spacing w:line="360" w:lineRule="auto"/>
        <w:rPr>
          <w:rFonts w:hint="eastAsia" w:ascii="宋体" w:hAnsi="宋体" w:eastAsia="宋体" w:cs="宋体"/>
          <w:color w:val="auto"/>
          <w:szCs w:val="21"/>
          <w:highlight w:val="none"/>
        </w:rPr>
      </w:pPr>
    </w:p>
    <w:p w14:paraId="638E4221">
      <w:pPr>
        <w:spacing w:line="360" w:lineRule="auto"/>
        <w:ind w:firstLine="15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建造师（总监）签字：</w:t>
      </w:r>
      <w:r>
        <w:rPr>
          <w:rFonts w:hint="eastAsia" w:ascii="宋体" w:hAnsi="宋体" w:eastAsia="宋体" w:cs="宋体"/>
          <w:color w:val="auto"/>
          <w:szCs w:val="21"/>
          <w:highlight w:val="none"/>
          <w:u w:val="single"/>
        </w:rPr>
        <w:t xml:space="preserve">                   </w:t>
      </w:r>
    </w:p>
    <w:p w14:paraId="60C3B253">
      <w:pPr>
        <w:spacing w:line="360" w:lineRule="auto"/>
        <w:ind w:firstLine="33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中标人法人代表或授权委托人签字：</w:t>
      </w:r>
      <w:r>
        <w:rPr>
          <w:rFonts w:hint="eastAsia" w:ascii="宋体" w:hAnsi="宋体" w:eastAsia="宋体" w:cs="宋体"/>
          <w:color w:val="auto"/>
          <w:szCs w:val="21"/>
          <w:highlight w:val="none"/>
          <w:u w:val="single"/>
        </w:rPr>
        <w:t xml:space="preserve">                  </w:t>
      </w:r>
    </w:p>
    <w:p w14:paraId="6C1B3A93">
      <w:pPr>
        <w:spacing w:line="360" w:lineRule="auto"/>
        <w:ind w:firstLine="33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1BAAFC3A">
      <w:pPr>
        <w:spacing w:line="360" w:lineRule="auto"/>
        <w:ind w:firstLine="3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公 章</w:t>
      </w:r>
    </w:p>
    <w:p w14:paraId="419606AE">
      <w:pPr>
        <w:spacing w:line="360" w:lineRule="auto"/>
        <w:rPr>
          <w:rFonts w:hint="eastAsia" w:ascii="宋体" w:hAnsi="宋体" w:eastAsia="宋体" w:cs="宋体"/>
          <w:color w:val="auto"/>
          <w:sz w:val="24"/>
          <w:highlight w:val="none"/>
        </w:rPr>
      </w:pPr>
    </w:p>
    <w:p w14:paraId="0944E6B5">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2C6163D5">
      <w:pPr>
        <w:spacing w:line="360" w:lineRule="auto"/>
        <w:ind w:firstLine="480"/>
        <w:rPr>
          <w:rFonts w:hint="eastAsia" w:ascii="宋体" w:hAnsi="宋体" w:eastAsia="宋体" w:cs="宋体"/>
          <w:color w:val="auto"/>
          <w:sz w:val="24"/>
          <w:highlight w:val="none"/>
        </w:rPr>
      </w:pPr>
    </w:p>
    <w:p w14:paraId="15CA9DB1">
      <w:pPr>
        <w:spacing w:line="360" w:lineRule="auto"/>
        <w:ind w:firstLine="480"/>
        <w:rPr>
          <w:rFonts w:hint="eastAsia" w:ascii="宋体" w:hAnsi="宋体" w:eastAsia="宋体" w:cs="宋体"/>
          <w:color w:val="auto"/>
          <w:sz w:val="24"/>
          <w:highlight w:val="none"/>
        </w:rPr>
      </w:pPr>
    </w:p>
    <w:p w14:paraId="2E18441D">
      <w:pPr>
        <w:spacing w:line="360" w:lineRule="auto"/>
        <w:ind w:firstLine="480"/>
        <w:rPr>
          <w:rFonts w:hint="eastAsia" w:ascii="宋体" w:hAnsi="宋体" w:eastAsia="宋体" w:cs="宋体"/>
          <w:color w:val="auto"/>
          <w:sz w:val="24"/>
          <w:highlight w:val="none"/>
        </w:rPr>
      </w:pPr>
    </w:p>
    <w:p w14:paraId="652CCF9D">
      <w:pPr>
        <w:spacing w:line="360" w:lineRule="auto"/>
        <w:ind w:firstLine="480"/>
        <w:rPr>
          <w:rFonts w:hint="eastAsia" w:ascii="宋体" w:hAnsi="宋体" w:eastAsia="宋体" w:cs="宋体"/>
          <w:color w:val="auto"/>
          <w:sz w:val="24"/>
          <w:highlight w:val="none"/>
        </w:rPr>
      </w:pPr>
    </w:p>
    <w:p w14:paraId="72358B12">
      <w:pPr>
        <w:spacing w:line="360" w:lineRule="auto"/>
        <w:ind w:firstLine="480"/>
        <w:rPr>
          <w:rFonts w:hint="eastAsia" w:ascii="宋体" w:hAnsi="宋体" w:eastAsia="宋体" w:cs="宋体"/>
          <w:color w:val="auto"/>
          <w:sz w:val="24"/>
          <w:highlight w:val="none"/>
        </w:rPr>
      </w:pPr>
    </w:p>
    <w:p w14:paraId="216E1B48">
      <w:pPr>
        <w:spacing w:line="360" w:lineRule="auto"/>
        <w:ind w:firstLine="480"/>
        <w:rPr>
          <w:rFonts w:hint="eastAsia" w:ascii="宋体" w:hAnsi="宋体" w:eastAsia="宋体" w:cs="宋体"/>
          <w:color w:val="auto"/>
          <w:sz w:val="24"/>
          <w:highlight w:val="none"/>
        </w:rPr>
      </w:pPr>
    </w:p>
    <w:p w14:paraId="5F6B19B4">
      <w:pPr>
        <w:spacing w:line="360" w:lineRule="auto"/>
        <w:ind w:firstLine="480"/>
        <w:rPr>
          <w:rFonts w:hint="eastAsia" w:ascii="宋体" w:hAnsi="宋体" w:eastAsia="宋体" w:cs="宋体"/>
          <w:color w:val="auto"/>
          <w:sz w:val="24"/>
          <w:highlight w:val="none"/>
        </w:rPr>
      </w:pPr>
    </w:p>
    <w:p w14:paraId="21158B5C">
      <w:pPr>
        <w:spacing w:line="360" w:lineRule="auto"/>
        <w:ind w:firstLine="480"/>
        <w:rPr>
          <w:rFonts w:hint="eastAsia" w:ascii="宋体" w:hAnsi="宋体" w:eastAsia="宋体" w:cs="宋体"/>
          <w:color w:val="auto"/>
          <w:sz w:val="24"/>
          <w:highlight w:val="none"/>
        </w:rPr>
      </w:pPr>
    </w:p>
    <w:p w14:paraId="50CCFF94">
      <w:pPr>
        <w:spacing w:line="360" w:lineRule="auto"/>
        <w:ind w:firstLine="480"/>
        <w:rPr>
          <w:rFonts w:hint="eastAsia" w:ascii="宋体" w:hAnsi="宋体" w:eastAsia="宋体" w:cs="宋体"/>
          <w:color w:val="auto"/>
          <w:sz w:val="24"/>
          <w:highlight w:val="none"/>
        </w:rPr>
      </w:pPr>
    </w:p>
    <w:p w14:paraId="1DDFEAF5">
      <w:pPr>
        <w:spacing w:line="360" w:lineRule="auto"/>
        <w:ind w:firstLine="480"/>
        <w:rPr>
          <w:rFonts w:hint="eastAsia" w:ascii="宋体" w:hAnsi="宋体" w:eastAsia="宋体" w:cs="宋体"/>
          <w:color w:val="auto"/>
          <w:sz w:val="24"/>
          <w:highlight w:val="none"/>
        </w:rPr>
      </w:pPr>
    </w:p>
    <w:p w14:paraId="32B55E4D">
      <w:pPr>
        <w:pStyle w:val="210"/>
        <w:rPr>
          <w:rFonts w:hint="eastAsia" w:ascii="宋体" w:hAnsi="宋体" w:eastAsia="宋体" w:cs="宋体"/>
          <w:color w:val="auto"/>
          <w:sz w:val="24"/>
          <w:highlight w:val="none"/>
        </w:rPr>
      </w:pPr>
    </w:p>
    <w:p w14:paraId="7BBB3440">
      <w:pPr>
        <w:pStyle w:val="210"/>
        <w:rPr>
          <w:rFonts w:hint="eastAsia" w:ascii="宋体" w:hAnsi="宋体" w:eastAsia="宋体" w:cs="宋体"/>
          <w:color w:val="auto"/>
          <w:sz w:val="24"/>
          <w:highlight w:val="none"/>
        </w:rPr>
      </w:pPr>
    </w:p>
    <w:p w14:paraId="4ECD21E1">
      <w:pPr>
        <w:pStyle w:val="210"/>
        <w:rPr>
          <w:rFonts w:hint="eastAsia" w:ascii="宋体" w:hAnsi="宋体" w:eastAsia="宋体" w:cs="宋体"/>
          <w:color w:val="auto"/>
          <w:sz w:val="24"/>
          <w:highlight w:val="none"/>
        </w:rPr>
      </w:pPr>
    </w:p>
    <w:p w14:paraId="63A19A36">
      <w:pPr>
        <w:pStyle w:val="210"/>
        <w:rPr>
          <w:rFonts w:hint="eastAsia" w:ascii="宋体" w:hAnsi="宋体" w:eastAsia="宋体" w:cs="宋体"/>
          <w:color w:val="auto"/>
          <w:sz w:val="24"/>
          <w:highlight w:val="none"/>
        </w:rPr>
      </w:pPr>
    </w:p>
    <w:p w14:paraId="57E3C7A2">
      <w:pPr>
        <w:pStyle w:val="210"/>
        <w:rPr>
          <w:rFonts w:hint="eastAsia" w:ascii="宋体" w:hAnsi="宋体" w:eastAsia="宋体" w:cs="宋体"/>
          <w:color w:val="auto"/>
          <w:sz w:val="24"/>
          <w:highlight w:val="none"/>
        </w:rPr>
      </w:pPr>
    </w:p>
    <w:p w14:paraId="3FDAE0C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附件3</w:t>
      </w:r>
    </w:p>
    <w:p w14:paraId="52B0064C">
      <w:pPr>
        <w:spacing w:line="360" w:lineRule="auto"/>
        <w:jc w:val="center"/>
        <w:rPr>
          <w:rFonts w:hint="eastAsia" w:ascii="宋体" w:hAnsi="宋体" w:eastAsia="宋体" w:cs="宋体"/>
          <w:b/>
          <w:color w:val="auto"/>
          <w:sz w:val="24"/>
          <w:highlight w:val="none"/>
        </w:rPr>
      </w:pPr>
      <w:bookmarkStart w:id="18" w:name="_Toc259970271"/>
      <w:bookmarkStart w:id="19" w:name="_Toc162612999"/>
      <w:bookmarkStart w:id="20" w:name="_Toc262123817"/>
      <w:r>
        <w:rPr>
          <w:rFonts w:hint="eastAsia" w:ascii="宋体" w:hAnsi="宋体" w:eastAsia="宋体" w:cs="宋体"/>
          <w:b/>
          <w:color w:val="auto"/>
          <w:sz w:val="24"/>
          <w:highlight w:val="none"/>
        </w:rPr>
        <w:t>廉政合同</w:t>
      </w:r>
      <w:bookmarkEnd w:id="18"/>
      <w:bookmarkEnd w:id="19"/>
      <w:bookmarkEnd w:id="20"/>
    </w:p>
    <w:p w14:paraId="256FA369">
      <w:pPr>
        <w:spacing w:line="360" w:lineRule="auto"/>
        <w:ind w:firstLine="480"/>
        <w:rPr>
          <w:rFonts w:hint="eastAsia" w:ascii="宋体" w:hAnsi="宋体" w:eastAsia="宋体" w:cs="宋体"/>
          <w:color w:val="auto"/>
          <w:sz w:val="24"/>
          <w:highlight w:val="none"/>
        </w:rPr>
      </w:pPr>
    </w:p>
    <w:p w14:paraId="41820772">
      <w:pPr>
        <w:spacing w:line="360" w:lineRule="auto"/>
        <w:ind w:firstLine="44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根据有关工程建设、廉政建设的规定，为做好工程建设中的党风廉政建设，保证工程建设高效优质，保证建设资金的安全和有效使用以及投资效益，</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（项目名称）项目法人</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（发包人）与该项目的施工单位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，特订立如下合同。</w:t>
      </w:r>
    </w:p>
    <w:p w14:paraId="5A3C92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1．发包人和承包人双方的权利和义务</w:t>
      </w:r>
    </w:p>
    <w:p w14:paraId="122E6FD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（1）严格遵守党的政策规定和国家有关法律法规的有关规定。</w:t>
      </w:r>
    </w:p>
    <w:p w14:paraId="19FEA26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（2）严格执行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标段施工合同文件，自觉按合同办事。</w:t>
      </w:r>
    </w:p>
    <w:p w14:paraId="52BF2B5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（3）双方的业务活动坚持公开、公正、诚信、透明的原则（法律认定的商业秘密和合同文件另有规定除外），不得损害国家和集体利益，不得违反工程建设管理规章制度。</w:t>
      </w:r>
    </w:p>
    <w:p w14:paraId="50036E2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（4）建立健全廉政制度，开展廉政教育，设立廉政告示牌，公布举报电话，监督并认真查处违法违纪行为。</w:t>
      </w:r>
    </w:p>
    <w:p w14:paraId="0A9FFB3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（5）发现对方在业务活动中有违反廉政规定的行为，有及时提醒对方纠正的权利和义务。</w:t>
      </w:r>
    </w:p>
    <w:p w14:paraId="6E3842A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（6）发现对方严重违反本合同义务条款的行为，有向其上级有关部门举报、建议给予处理并要求告知处理结果的权利。</w:t>
      </w:r>
    </w:p>
    <w:p w14:paraId="4DE3407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2．发包人的义务</w:t>
      </w:r>
    </w:p>
    <w:p w14:paraId="0614196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（1）发包人及其工作人员不得索要或接受承包人的礼金、有价证券和贵重物品，不得让承包人报销任何应由发包人或发包人工作人员个人支付的费用等。</w:t>
      </w:r>
    </w:p>
    <w:p w14:paraId="72ADDDA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（2）发包人工作人员不得参加承包人安排的超标准宴请和娱乐活动；不得接受承包人提供的通讯工具、交通工具和高档办公用品等。</w:t>
      </w:r>
    </w:p>
    <w:p w14:paraId="222EA2C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（3）发包人及其工作人员不利要求或者接受承包人为其住房装修、婚丧嫁娶活动、配偶子女的工作安排以及出国出境、旅游等提供方便等。</w:t>
      </w:r>
    </w:p>
    <w:p w14:paraId="68608D3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（4）发包人工作人员及其配偶、子女不得从事与发包人工作有关的材料设备供应、工程分包、劳务等经济活动等。</w:t>
      </w:r>
    </w:p>
    <w:p w14:paraId="73F7DFD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（5）发包人及期工作人员不得以任何理由向承包人推荐分包单位或推销材料，不得要求承包人购买合同规定外的材料和设备。</w:t>
      </w:r>
    </w:p>
    <w:p w14:paraId="7F1C6F7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（6）发包人工作人员要秉公办事，不准营私舞弊，不准利用职权从事各种个人有偿中介活动和安排个人施工队伍。</w:t>
      </w:r>
    </w:p>
    <w:p w14:paraId="2EE5AA2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3．承包人的义务</w:t>
      </w:r>
    </w:p>
    <w:p w14:paraId="497C95C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（1）承包人不得以任何理由向发包人及其工作人员行贿或馈赠礼金、有价证券、贵重礼品。</w:t>
      </w:r>
    </w:p>
    <w:p w14:paraId="6C83DD2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（2）承包人不得以任何名义为发包人及其工作人员报销应由发包人单位或个人支付的任何费用。</w:t>
      </w:r>
    </w:p>
    <w:p w14:paraId="4FA4D0C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（3）承包人不得以任何理由安排发包人工作人员参加超标准宴请及娱乐活动。</w:t>
      </w:r>
    </w:p>
    <w:p w14:paraId="716B056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（4）承包人不得为发包人单位和个人购置或提供通讯工具、交通工具和高档办公用品等。</w:t>
      </w:r>
    </w:p>
    <w:p w14:paraId="70DA77A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4．违约责任</w:t>
      </w:r>
    </w:p>
    <w:p w14:paraId="027C223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（1）发包人及其工作人员违反本合同第1、2条，按管理权限，依据有关规定给予党纪、政纪或组织处理；涉嫌犯罪的，移交司法机关追究刑事责任；给承包人单位造成经济损失的，应予以赔偿。</w:t>
      </w:r>
    </w:p>
    <w:p w14:paraId="1A70221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及其工作人员违反本合同第1、3条，按管理权限，依据有关规定给予党纪、政纪或组织处理；给发包人单位造成经济损失的，应予以赔偿；情节严重的，发包人建议主管部门给予承包人一至三年内不得进入其主管的建设市场的处罚。</w:t>
      </w:r>
    </w:p>
    <w:p w14:paraId="1E22BD1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0412362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6.本合同有效期为发包人和承包人签署之日起至该工程项目竣工验收后止。</w:t>
      </w:r>
    </w:p>
    <w:p w14:paraId="4EB861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7.本合同作为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（项目名称）合同的附件，与工程施工合同具有同等的法律效力，经合同双方均加盖公章后立即生效。</w:t>
      </w:r>
    </w:p>
    <w:p w14:paraId="3E38D28A">
      <w:pPr>
        <w:spacing w:line="360" w:lineRule="auto"/>
        <w:ind w:firstLine="352"/>
        <w:rPr>
          <w:rFonts w:hint="eastAsia" w:ascii="宋体" w:hAnsi="宋体" w:eastAsia="宋体" w:cs="宋体"/>
          <w:color w:val="auto"/>
          <w:szCs w:val="21"/>
          <w:highlight w:val="none"/>
        </w:rPr>
      </w:pPr>
    </w:p>
    <w:p w14:paraId="0CD061B4">
      <w:pPr>
        <w:keepNext w:val="0"/>
        <w:keepLines w:val="0"/>
        <w:pageBreakBefore w:val="0"/>
        <w:widowControl w:val="0"/>
        <w:spacing w:line="480" w:lineRule="auto"/>
        <w:ind w:firstLine="352"/>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发包人（公章）：                        承包人（公章）：</w:t>
      </w:r>
    </w:p>
    <w:p w14:paraId="2D5BFAD8">
      <w:pPr>
        <w:keepNext w:val="0"/>
        <w:keepLines w:val="0"/>
        <w:pageBreakBefore w:val="0"/>
        <w:widowControl w:val="0"/>
        <w:spacing w:line="480" w:lineRule="auto"/>
        <w:ind w:firstLine="3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法定代表人</w:t>
      </w:r>
    </w:p>
    <w:p w14:paraId="5CD3C838">
      <w:pPr>
        <w:keepNext w:val="0"/>
        <w:keepLines w:val="0"/>
        <w:pageBreakBefore w:val="0"/>
        <w:widowControl w:val="0"/>
        <w:spacing w:line="480" w:lineRule="auto"/>
        <w:ind w:firstLine="352"/>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或授权代理人（签字）：                  或授权代理人（签字）：</w:t>
      </w:r>
    </w:p>
    <w:p w14:paraId="4698B834">
      <w:pPr>
        <w:keepNext w:val="0"/>
        <w:keepLines w:val="0"/>
        <w:pageBreakBefore w:val="0"/>
        <w:widowControl w:val="0"/>
        <w:spacing w:line="480" w:lineRule="auto"/>
        <w:ind w:firstLine="352"/>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签订日期：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签订日期：</w:t>
      </w:r>
      <w:bookmarkStart w:id="21" w:name="_Toc156187664"/>
      <w:bookmarkEnd w:id="21"/>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E3FF02D">
      <w:pPr>
        <w:spacing w:after="120" w:line="360" w:lineRule="auto"/>
        <w:rPr>
          <w:rFonts w:hint="eastAsia" w:ascii="宋体" w:hAnsi="宋体" w:eastAsia="宋体" w:cs="宋体"/>
          <w:color w:val="auto"/>
          <w:szCs w:val="21"/>
          <w:highlight w:val="none"/>
        </w:rPr>
      </w:pPr>
    </w:p>
    <w:p w14:paraId="3107B54C">
      <w:pPr>
        <w:pStyle w:val="210"/>
        <w:ind w:firstLine="420"/>
        <w:rPr>
          <w:rFonts w:hint="eastAsia" w:ascii="宋体" w:hAnsi="宋体" w:eastAsia="宋体" w:cs="宋体"/>
          <w:color w:val="auto"/>
          <w:szCs w:val="21"/>
          <w:highlight w:val="none"/>
        </w:rPr>
      </w:pPr>
    </w:p>
    <w:p w14:paraId="0115AD61">
      <w:pPr>
        <w:pStyle w:val="210"/>
        <w:ind w:firstLine="420"/>
        <w:rPr>
          <w:rFonts w:hint="eastAsia" w:ascii="宋体" w:hAnsi="宋体" w:eastAsia="宋体" w:cs="宋体"/>
          <w:color w:val="auto"/>
          <w:szCs w:val="21"/>
          <w:highlight w:val="none"/>
        </w:rPr>
      </w:pPr>
    </w:p>
    <w:p w14:paraId="6CC8A333">
      <w:pPr>
        <w:pStyle w:val="210"/>
        <w:ind w:firstLine="420"/>
        <w:rPr>
          <w:rFonts w:hint="eastAsia" w:ascii="宋体" w:hAnsi="宋体" w:eastAsia="宋体" w:cs="宋体"/>
          <w:color w:val="auto"/>
          <w:szCs w:val="21"/>
          <w:highlight w:val="none"/>
        </w:rPr>
      </w:pPr>
    </w:p>
    <w:p w14:paraId="6BC8816F">
      <w:pPr>
        <w:pStyle w:val="210"/>
        <w:ind w:firstLine="420"/>
        <w:rPr>
          <w:rFonts w:hint="eastAsia" w:ascii="宋体" w:hAnsi="宋体" w:eastAsia="宋体" w:cs="宋体"/>
          <w:color w:val="auto"/>
          <w:szCs w:val="21"/>
          <w:highlight w:val="none"/>
        </w:rPr>
      </w:pPr>
    </w:p>
    <w:p w14:paraId="22A4A1FC">
      <w:pPr>
        <w:pStyle w:val="210"/>
        <w:ind w:firstLine="420"/>
        <w:rPr>
          <w:rFonts w:hint="eastAsia" w:ascii="宋体" w:hAnsi="宋体" w:eastAsia="宋体" w:cs="宋体"/>
          <w:color w:val="auto"/>
          <w:szCs w:val="21"/>
          <w:highlight w:val="none"/>
        </w:rPr>
      </w:pPr>
    </w:p>
    <w:p w14:paraId="35DD0FCF">
      <w:pPr>
        <w:pStyle w:val="210"/>
        <w:ind w:firstLine="420"/>
        <w:rPr>
          <w:rFonts w:hint="eastAsia" w:ascii="宋体" w:hAnsi="宋体" w:eastAsia="宋体" w:cs="宋体"/>
          <w:color w:val="auto"/>
          <w:szCs w:val="21"/>
          <w:highlight w:val="none"/>
        </w:rPr>
      </w:pPr>
    </w:p>
    <w:p w14:paraId="271E5AE9">
      <w:pPr>
        <w:pStyle w:val="210"/>
        <w:ind w:firstLine="420"/>
        <w:rPr>
          <w:rFonts w:hint="eastAsia" w:ascii="宋体" w:hAnsi="宋体" w:eastAsia="宋体" w:cs="宋体"/>
          <w:color w:val="auto"/>
          <w:szCs w:val="21"/>
          <w:highlight w:val="none"/>
        </w:rPr>
      </w:pPr>
    </w:p>
    <w:p w14:paraId="6DD4A45F">
      <w:pPr>
        <w:pStyle w:val="210"/>
        <w:ind w:firstLine="420"/>
        <w:rPr>
          <w:rFonts w:hint="eastAsia" w:ascii="宋体" w:hAnsi="宋体" w:eastAsia="宋体" w:cs="宋体"/>
          <w:color w:val="auto"/>
          <w:szCs w:val="21"/>
          <w:highlight w:val="none"/>
        </w:rPr>
      </w:pPr>
    </w:p>
    <w:p w14:paraId="2B09C826">
      <w:pPr>
        <w:pStyle w:val="210"/>
        <w:ind w:firstLine="420"/>
        <w:rPr>
          <w:rFonts w:hint="eastAsia" w:ascii="宋体" w:hAnsi="宋体" w:eastAsia="宋体" w:cs="宋体"/>
          <w:color w:val="auto"/>
          <w:szCs w:val="21"/>
          <w:highlight w:val="none"/>
        </w:rPr>
      </w:pPr>
    </w:p>
    <w:p w14:paraId="42DC7A02">
      <w:pPr>
        <w:pStyle w:val="210"/>
        <w:ind w:firstLine="420"/>
        <w:rPr>
          <w:rFonts w:hint="eastAsia" w:ascii="宋体" w:hAnsi="宋体" w:eastAsia="宋体" w:cs="宋体"/>
          <w:color w:val="auto"/>
          <w:szCs w:val="21"/>
          <w:highlight w:val="none"/>
        </w:rPr>
      </w:pPr>
    </w:p>
    <w:p w14:paraId="733A54A8">
      <w:pPr>
        <w:pStyle w:val="210"/>
        <w:ind w:firstLine="420"/>
        <w:rPr>
          <w:rFonts w:hint="eastAsia" w:ascii="宋体" w:hAnsi="宋体" w:eastAsia="宋体" w:cs="宋体"/>
          <w:color w:val="auto"/>
          <w:szCs w:val="21"/>
          <w:highlight w:val="none"/>
        </w:rPr>
      </w:pPr>
    </w:p>
    <w:p w14:paraId="7F1BE27F">
      <w:pPr>
        <w:pStyle w:val="210"/>
        <w:ind w:firstLine="420"/>
        <w:rPr>
          <w:rFonts w:hint="eastAsia" w:ascii="宋体" w:hAnsi="宋体" w:eastAsia="宋体" w:cs="宋体"/>
          <w:color w:val="auto"/>
          <w:szCs w:val="21"/>
          <w:highlight w:val="none"/>
        </w:rPr>
      </w:pPr>
    </w:p>
    <w:p w14:paraId="15308B7E">
      <w:pPr>
        <w:pStyle w:val="210"/>
        <w:ind w:firstLine="420"/>
        <w:rPr>
          <w:rFonts w:hint="eastAsia" w:ascii="宋体" w:hAnsi="宋体" w:eastAsia="宋体" w:cs="宋体"/>
          <w:color w:val="auto"/>
          <w:szCs w:val="21"/>
          <w:highlight w:val="none"/>
        </w:rPr>
      </w:pPr>
    </w:p>
    <w:p w14:paraId="446ED2F7">
      <w:pPr>
        <w:pStyle w:val="210"/>
        <w:ind w:firstLine="420"/>
        <w:rPr>
          <w:rFonts w:hint="eastAsia" w:ascii="宋体" w:hAnsi="宋体" w:eastAsia="宋体" w:cs="宋体"/>
          <w:color w:val="auto"/>
          <w:szCs w:val="21"/>
          <w:highlight w:val="none"/>
        </w:rPr>
      </w:pPr>
    </w:p>
    <w:p w14:paraId="0578B7C3">
      <w:pPr>
        <w:pStyle w:val="210"/>
        <w:ind w:firstLine="420"/>
        <w:rPr>
          <w:rFonts w:hint="eastAsia" w:ascii="宋体" w:hAnsi="宋体" w:eastAsia="宋体" w:cs="宋体"/>
          <w:color w:val="auto"/>
          <w:szCs w:val="21"/>
          <w:highlight w:val="none"/>
        </w:rPr>
      </w:pPr>
    </w:p>
    <w:p w14:paraId="747EC2D4">
      <w:pPr>
        <w:pStyle w:val="210"/>
        <w:ind w:firstLine="420"/>
        <w:rPr>
          <w:rFonts w:hint="eastAsia" w:ascii="宋体" w:hAnsi="宋体" w:eastAsia="宋体" w:cs="宋体"/>
          <w:color w:val="auto"/>
          <w:szCs w:val="21"/>
          <w:highlight w:val="none"/>
        </w:rPr>
      </w:pPr>
    </w:p>
    <w:p w14:paraId="18AFE7E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附件4</w:t>
      </w:r>
    </w:p>
    <w:p w14:paraId="5106D16B">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不拖欠农民工工资承诺书</w:t>
      </w:r>
    </w:p>
    <w:p w14:paraId="2F430676">
      <w:pPr>
        <w:spacing w:line="360" w:lineRule="auto"/>
        <w:jc w:val="center"/>
        <w:rPr>
          <w:rFonts w:hint="eastAsia" w:ascii="宋体" w:hAnsi="宋体" w:eastAsia="宋体" w:cs="宋体"/>
          <w:b/>
          <w:color w:val="auto"/>
          <w:sz w:val="24"/>
          <w:highlight w:val="none"/>
        </w:rPr>
      </w:pPr>
    </w:p>
    <w:p w14:paraId="30D9C46A">
      <w:pPr>
        <w:spacing w:line="360" w:lineRule="auto"/>
        <w:ind w:left="249" w:right="23" w:firstLine="15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w:t>
      </w:r>
    </w:p>
    <w:p w14:paraId="39A8547F">
      <w:pPr>
        <w:spacing w:line="360" w:lineRule="auto"/>
        <w:ind w:left="262"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为保护农民工的合法权益，不拖欠农民工工资，本人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（法定代表人姓名）以</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（承包人全称）法定代表人的资格，郑重承诺：</w:t>
      </w:r>
    </w:p>
    <w:p w14:paraId="584C3C03">
      <w:pPr>
        <w:spacing w:line="360" w:lineRule="auto"/>
        <w:ind w:left="262"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本单位中标承建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（项目名称）需要使用农民工时，将保证做到：</w:t>
      </w:r>
    </w:p>
    <w:p w14:paraId="0191D05B">
      <w:pPr>
        <w:spacing w:line="360" w:lineRule="auto"/>
        <w:ind w:left="262"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1、按照《劳动法》规定雇用和使用农民工，工资将直接发给农民工本人，严禁发放给“包工头”。</w:t>
      </w:r>
    </w:p>
    <w:p w14:paraId="4DE46193">
      <w:pPr>
        <w:spacing w:line="360" w:lineRule="auto"/>
        <w:ind w:left="262"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115F4EA8">
      <w:pPr>
        <w:spacing w:line="360" w:lineRule="auto"/>
        <w:ind w:left="262"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3、严格遵守国家和地方关于农民工工资的其他有关规定。</w:t>
      </w:r>
    </w:p>
    <w:p w14:paraId="52E57A4E">
      <w:pPr>
        <w:spacing w:line="360" w:lineRule="auto"/>
        <w:ind w:left="262"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4、如果发生违反规定拖欠或克扣农民工工资行为，造成农民工上访，本单位愿意无条件接受发包人采取的经济等处罚，同时愿意接受建设行政主管部门依照有关规定作出的其它处罚决定。</w:t>
      </w:r>
    </w:p>
    <w:p w14:paraId="43CB314C">
      <w:pPr>
        <w:spacing w:line="360" w:lineRule="auto"/>
        <w:ind w:left="376" w:right="23" w:firstLine="440"/>
        <w:jc w:val="left"/>
        <w:rPr>
          <w:rFonts w:hint="eastAsia" w:ascii="宋体" w:hAnsi="宋体" w:eastAsia="宋体" w:cs="宋体"/>
          <w:color w:val="auto"/>
          <w:szCs w:val="21"/>
          <w:highlight w:val="none"/>
        </w:rPr>
      </w:pPr>
    </w:p>
    <w:p w14:paraId="7D846443">
      <w:pPr>
        <w:spacing w:line="480" w:lineRule="auto"/>
        <w:ind w:left="376"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承包人（公章）： </w:t>
      </w:r>
    </w:p>
    <w:p w14:paraId="6DBDB75F">
      <w:pPr>
        <w:spacing w:line="480" w:lineRule="auto"/>
        <w:ind w:left="376"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法定代表人（签字）：</w:t>
      </w:r>
    </w:p>
    <w:p w14:paraId="2B3E3A63">
      <w:pPr>
        <w:spacing w:line="480" w:lineRule="auto"/>
        <w:ind w:left="360"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     年  月   日</w:t>
      </w:r>
    </w:p>
    <w:p w14:paraId="44D84163">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color w:val="auto"/>
          <w:sz w:val="24"/>
          <w:highlight w:val="none"/>
        </w:rPr>
        <w:t>附件5</w:t>
      </w:r>
    </w:p>
    <w:p w14:paraId="222CF959">
      <w:pPr>
        <w:spacing w:line="360" w:lineRule="auto"/>
        <w:ind w:firstLine="482"/>
        <w:jc w:val="center"/>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安全生产合同</w:t>
      </w:r>
    </w:p>
    <w:p w14:paraId="5A4CC76F">
      <w:pPr>
        <w:tabs>
          <w:tab w:val="left" w:pos="0"/>
        </w:tabs>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施工合同的实施过程中创造安全、高效的施工环境，</w:t>
      </w:r>
      <w:r>
        <w:rPr>
          <w:rFonts w:hint="eastAsia" w:cs="宋体"/>
          <w:color w:val="auto"/>
          <w:szCs w:val="21"/>
          <w:highlight w:val="none"/>
          <w:lang w:eastAsia="zh-CN"/>
        </w:rPr>
        <w:t>切实做好</w:t>
      </w:r>
      <w:r>
        <w:rPr>
          <w:rFonts w:hint="eastAsia" w:ascii="宋体" w:hAnsi="宋体" w:eastAsia="宋体" w:cs="宋体"/>
          <w:color w:val="auto"/>
          <w:szCs w:val="21"/>
          <w:highlight w:val="none"/>
        </w:rPr>
        <w:t>本项目的安全管理工作，本项目发包人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与承包人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特此签订安全生产合同：</w:t>
      </w:r>
    </w:p>
    <w:p w14:paraId="77A016D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1.发包人职责</w:t>
      </w:r>
    </w:p>
    <w:p w14:paraId="409C2D8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（1）严格遵守国家有关安全生产的法律法规，认真执行工程承包合同中的有关安全要求。</w:t>
      </w:r>
    </w:p>
    <w:p w14:paraId="530A5F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（2）按照“安全第一、预防为主”和坚持“管生产必须管安全”的原则进行安全生产管理，做到生产与安全工作同时计划、布置、检查、总结和评比。</w:t>
      </w:r>
    </w:p>
    <w:p w14:paraId="40BFABC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（3）重要的安全设施必须坚持与主体工程“三同时”的原则，即：同时设计、审批，同时施工，同时验收，投入使用。</w:t>
      </w:r>
    </w:p>
    <w:p w14:paraId="35E41AF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（4）定期召开安全生产调度会，及时传达</w:t>
      </w:r>
      <w:r>
        <w:rPr>
          <w:rFonts w:hint="eastAsia" w:cs="宋体"/>
          <w:color w:val="auto"/>
          <w:szCs w:val="21"/>
          <w:highlight w:val="none"/>
          <w:lang w:eastAsia="zh-CN"/>
        </w:rPr>
        <w:t>中央和地方</w:t>
      </w:r>
      <w:r>
        <w:rPr>
          <w:rFonts w:hint="eastAsia" w:ascii="宋体" w:hAnsi="宋体" w:eastAsia="宋体" w:cs="宋体"/>
          <w:color w:val="auto"/>
          <w:szCs w:val="21"/>
          <w:highlight w:val="none"/>
        </w:rPr>
        <w:t>有关安全生产的精神。</w:t>
      </w:r>
    </w:p>
    <w:p w14:paraId="25D67ED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（5）组织对承包人施工现场安全生产检查，监督承包人及时处理发现的各种安全隐患。</w:t>
      </w:r>
    </w:p>
    <w:p w14:paraId="55D09E6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2.承包人职责</w:t>
      </w:r>
    </w:p>
    <w:p w14:paraId="7CC1626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（1）严格遵守《中华人民共和国安全生产法》、《建设工程安全生产管理条例》等国家有关安全生产的法律法规。认真执行工程承包合同中的有关安全要求。</w:t>
      </w:r>
    </w:p>
    <w:p w14:paraId="11AF361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162FBF0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p>
    <w:p w14:paraId="20E4012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（4）承包人在任何时候都应采取各种合理的预防措施，防止其员工发生任何违法、违禁、暴力或妨碍治安的行为。</w:t>
      </w:r>
    </w:p>
    <w:p w14:paraId="6CF0030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p>
    <w:p w14:paraId="7422663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73AFBC7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（7）操作人员上岗，必须按规定穿戴防护用品。施工负责人和安全检查员应随时检查劳动防护用品的穿戴情况，不按规定穿戴防护用品的人员不得上岗。</w:t>
      </w:r>
    </w:p>
    <w:p w14:paraId="6B6D7BC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（8）所有施工机具设备和高空作业的设备均应定期检查，并有安全员的签字记录，保证其经常处于完好状态；不合格的机具、设备和劳动保护用品严禁使用：</w:t>
      </w:r>
    </w:p>
    <w:p w14:paraId="71F73D7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（9）施工中采用新技术、新工艺、新设备、新材料时，必须制定相应的安全技术措施，施工现场必须具有相关的安全标志牌。</w:t>
      </w:r>
    </w:p>
    <w:p w14:paraId="4F39B74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1C7E594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（11）安全生产费用按照相关规定使用和管理。</w:t>
      </w:r>
    </w:p>
    <w:p w14:paraId="199A20B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3.违约责任</w:t>
      </w:r>
    </w:p>
    <w:p w14:paraId="3B3E589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如因发包人或承包人违约造成安全事故，将依法追究责任。</w:t>
      </w:r>
    </w:p>
    <w:p w14:paraId="0775B1B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4.本合同经双方均加盖公章后生效，全部工程竣工验收后失效。</w:t>
      </w:r>
    </w:p>
    <w:p w14:paraId="73EFEB76">
      <w:pPr>
        <w:spacing w:line="360" w:lineRule="auto"/>
        <w:ind w:firstLine="440"/>
        <w:rPr>
          <w:rFonts w:hint="eastAsia" w:ascii="宋体" w:hAnsi="宋体" w:eastAsia="宋体" w:cs="宋体"/>
          <w:color w:val="auto"/>
          <w:szCs w:val="21"/>
          <w:highlight w:val="none"/>
        </w:rPr>
      </w:pPr>
    </w:p>
    <w:p w14:paraId="2E4BF07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（盖单位章）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（盖单位章） </w:t>
      </w:r>
    </w:p>
    <w:p w14:paraId="5C3080B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法定代表人</w:t>
      </w:r>
    </w:p>
    <w:p w14:paraId="5F3DA68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（签字）       </w:t>
      </w:r>
    </w:p>
    <w:p w14:paraId="22D818A2">
      <w:pPr>
        <w:spacing w:line="360" w:lineRule="auto"/>
        <w:ind w:firstLine="1100"/>
        <w:contextualSpacing/>
        <w:rPr>
          <w:rStyle w:val="226"/>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 年    月    日                        年    月    日</w:t>
      </w:r>
    </w:p>
    <w:p w14:paraId="2A0A699C">
      <w:pPr>
        <w:rPr>
          <w:rFonts w:hint="eastAsia" w:ascii="宋体" w:hAnsi="宋体" w:eastAsia="宋体" w:cs="宋体"/>
          <w:b/>
          <w:color w:val="auto"/>
          <w:sz w:val="32"/>
          <w:highlight w:val="none"/>
          <w:lang w:val="en-US" w:eastAsia="zh-CN"/>
        </w:rPr>
      </w:pPr>
      <w:r>
        <w:rPr>
          <w:rFonts w:hint="eastAsia" w:ascii="宋体" w:hAnsi="宋体" w:eastAsia="宋体" w:cs="宋体"/>
          <w:b/>
          <w:color w:val="auto"/>
          <w:sz w:val="32"/>
          <w:highlight w:val="none"/>
          <w:lang w:val="en-US" w:eastAsia="zh-CN"/>
        </w:rPr>
        <w:br w:type="page" w:clear="all"/>
      </w:r>
    </w:p>
    <w:p w14:paraId="4B489158">
      <w:pPr>
        <w:pStyle w:val="5"/>
        <w:keepNext w:val="0"/>
        <w:keepLines w:val="0"/>
        <w:pageBreakBefore w:val="0"/>
        <w:numPr>
          <w:ilvl w:val="0"/>
          <w:numId w:val="0"/>
        </w:numPr>
        <w:pBdr>
          <w:top w:val="none" w:color="000000" w:sz="0" w:space="0"/>
          <w:left w:val="none" w:color="000000" w:sz="0" w:space="0"/>
          <w:bottom w:val="none" w:color="000000" w:sz="0" w:space="0"/>
          <w:right w:val="none" w:color="000000" w:sz="0" w:space="0"/>
        </w:pBdr>
        <w:spacing w:before="24" w:after="320" w:line="600" w:lineRule="exact"/>
        <w:jc w:val="center"/>
        <w:rPr>
          <w:rFonts w:hint="eastAsia" w:ascii="宋体" w:hAnsi="宋体" w:eastAsia="宋体" w:cs="宋体"/>
          <w:color w:val="auto"/>
          <w:highlight w:val="none"/>
        </w:rPr>
      </w:pPr>
      <w:r>
        <w:rPr>
          <w:rFonts w:hint="eastAsia" w:ascii="宋体" w:hAnsi="宋体" w:eastAsia="宋体" w:cs="宋体"/>
          <w:b/>
          <w:color w:val="auto"/>
          <w:sz w:val="32"/>
          <w:highlight w:val="none"/>
          <w:lang w:val="en-US" w:eastAsia="zh-CN"/>
        </w:rPr>
        <w:t xml:space="preserve">第四章  </w:t>
      </w:r>
      <w:r>
        <w:rPr>
          <w:rFonts w:hint="eastAsia" w:ascii="宋体" w:hAnsi="宋体" w:eastAsia="宋体" w:cs="宋体"/>
          <w:b/>
          <w:color w:val="auto"/>
          <w:sz w:val="32"/>
          <w:highlight w:val="none"/>
        </w:rPr>
        <w:t>项目需求</w:t>
      </w:r>
    </w:p>
    <w:p w14:paraId="5ABFB416">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说明： </w:t>
      </w:r>
    </w:p>
    <w:p w14:paraId="1FF417FC">
      <w:pPr>
        <w:keepNext w:val="0"/>
        <w:keepLines w:val="0"/>
        <w:pageBreakBefore w:val="0"/>
        <w:widowControl/>
        <w:spacing w:line="560" w:lineRule="exact"/>
        <w:ind w:firstLine="442" w:firstLineChars="200"/>
        <w:jc w:val="left"/>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1.本项目属性为工程</w:t>
      </w:r>
      <w:r>
        <w:rPr>
          <w:rFonts w:hint="eastAsia" w:cs="宋体"/>
          <w:b/>
          <w:bCs/>
          <w:color w:val="auto"/>
          <w:sz w:val="22"/>
          <w:szCs w:val="22"/>
          <w:highlight w:val="none"/>
          <w:lang w:val="en-US" w:eastAsia="zh-CN" w:bidi="ar"/>
        </w:rPr>
        <w:t>类</w:t>
      </w:r>
      <w:r>
        <w:rPr>
          <w:rFonts w:hint="eastAsia" w:ascii="宋体" w:hAnsi="宋体" w:eastAsia="宋体" w:cs="宋体"/>
          <w:b/>
          <w:bCs/>
          <w:color w:val="auto"/>
          <w:sz w:val="22"/>
          <w:szCs w:val="22"/>
          <w:highlight w:val="none"/>
          <w:lang w:bidi="ar"/>
        </w:rPr>
        <w:t>，采购标的对应的中小企业划分标准所属行业为</w:t>
      </w:r>
      <w:r>
        <w:rPr>
          <w:rFonts w:hint="eastAsia" w:ascii="宋体" w:hAnsi="宋体" w:eastAsia="宋体" w:cs="宋体"/>
          <w:b/>
          <w:bCs/>
          <w:color w:val="auto"/>
          <w:sz w:val="22"/>
          <w:szCs w:val="22"/>
          <w:highlight w:val="none"/>
          <w:u w:val="single"/>
          <w:lang w:eastAsia="zh-CN" w:bidi="ar"/>
        </w:rPr>
        <w:t>建筑</w:t>
      </w:r>
      <w:r>
        <w:rPr>
          <w:rFonts w:hint="eastAsia" w:ascii="宋体" w:hAnsi="宋体" w:eastAsia="宋体" w:cs="宋体"/>
          <w:b/>
          <w:bCs/>
          <w:color w:val="auto"/>
          <w:sz w:val="22"/>
          <w:szCs w:val="22"/>
          <w:highlight w:val="none"/>
          <w:u w:val="single"/>
          <w:lang w:val="en-US" w:eastAsia="zh-CN" w:bidi="ar"/>
        </w:rPr>
        <w:t>业</w:t>
      </w:r>
      <w:r>
        <w:rPr>
          <w:rFonts w:hint="eastAsia" w:ascii="宋体" w:hAnsi="宋体" w:eastAsia="宋体" w:cs="宋体"/>
          <w:b/>
          <w:bCs/>
          <w:color w:val="auto"/>
          <w:sz w:val="22"/>
          <w:szCs w:val="22"/>
          <w:highlight w:val="none"/>
          <w:lang w:bidi="ar"/>
        </w:rPr>
        <w:t>。</w:t>
      </w:r>
    </w:p>
    <w:p w14:paraId="6C9A25D0">
      <w:pPr>
        <w:keepNext w:val="0"/>
        <w:keepLines w:val="0"/>
        <w:pageBreakBefore w:val="0"/>
        <w:widowControl/>
        <w:spacing w:line="560" w:lineRule="exact"/>
        <w:ind w:firstLine="442" w:firstLineChars="20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2．本项目需求成交注★号的部分为实质性要求和条件(由采购人根据实际情况设置)，磋商供应商必须作出满足或者优于原要求和条件的承诺，否则作无效应答处理。 </w:t>
      </w:r>
    </w:p>
    <w:p w14:paraId="5CDF81AF">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一、工程建设标准及技术规范 </w:t>
      </w:r>
    </w:p>
    <w:p w14:paraId="1830BD57">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bidi="ar"/>
        </w:rPr>
        <w:t>一</w:t>
      </w: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bidi="ar"/>
        </w:rPr>
        <w:t xml:space="preserve">、本工程采用的计价规范 </w:t>
      </w:r>
    </w:p>
    <w:p w14:paraId="6725039C">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1、《建设工程工程量清单计价规范》GB50500-2013；</w:t>
      </w:r>
    </w:p>
    <w:p w14:paraId="09BF037D">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2、《房屋建筑与装饰工程工程量计算规范》GB50854-2013及解释和勘误；</w:t>
      </w:r>
    </w:p>
    <w:p w14:paraId="326F57C2">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3、《江苏省建筑与装饰工程计价定额 2014版》；</w:t>
      </w:r>
    </w:p>
    <w:p w14:paraId="217D313F">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4、《江苏省安装工程计价定额 2014版》；</w:t>
      </w:r>
    </w:p>
    <w:p w14:paraId="07627263">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5、《江苏省房屋修缮工程计价表 2009版》；</w:t>
      </w:r>
    </w:p>
    <w:p w14:paraId="3D8DDFBC">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6、《江苏省建设工程费用定额》(2014年)；</w:t>
      </w:r>
    </w:p>
    <w:p w14:paraId="2A1294BF">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7、《省住房城乡建设厅关于建筑业实施营改增后江苏省建设工程计价依据调整的通知》(苏建价[2016]154号)；</w:t>
      </w:r>
    </w:p>
    <w:p w14:paraId="5949B2DC">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8、《省住房城乡建设厅关于调整建设工程按质论价等费用计取方法的公告》(江苏省住房和城乡建设厅公告[2018]第24号)；</w:t>
      </w:r>
    </w:p>
    <w:p w14:paraId="478B54A1">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9、《省住房城乡建设厅关于调整建设工程计价增值税税率的通知》(苏建价[2019]178号)；</w:t>
      </w:r>
    </w:p>
    <w:p w14:paraId="51A942A0">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10、《关于调整建筑、装饰、安装、市政、修缮、仿古建筑及园林工程预算工资单价的通知》苏建函价(2024）083号；</w:t>
      </w:r>
    </w:p>
    <w:p w14:paraId="5F03B926">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11、</w:t>
      </w:r>
      <w:r>
        <w:rPr>
          <w:rFonts w:hint="eastAsia" w:cs="宋体"/>
          <w:color w:val="auto"/>
          <w:sz w:val="22"/>
          <w:szCs w:val="22"/>
          <w:highlight w:val="none"/>
          <w:lang w:val="en-US" w:eastAsia="zh-CN" w:bidi="ar"/>
        </w:rPr>
        <w:t>连云港市赣榆区2025年最新建筑材料指导价</w:t>
      </w:r>
      <w:r>
        <w:rPr>
          <w:rFonts w:hint="eastAsia" w:ascii="宋体" w:hAnsi="宋体" w:eastAsia="宋体" w:cs="宋体"/>
          <w:color w:val="auto"/>
          <w:sz w:val="22"/>
          <w:szCs w:val="22"/>
          <w:highlight w:val="none"/>
          <w:lang w:bidi="ar"/>
        </w:rPr>
        <w:t xml:space="preserve">； </w:t>
      </w:r>
    </w:p>
    <w:p w14:paraId="77F3DE53">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bidi="ar"/>
        </w:rPr>
        <w:t>二</w:t>
      </w: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bidi="ar"/>
        </w:rPr>
        <w:t xml:space="preserve">、本工程采用的技术规范 </w:t>
      </w:r>
    </w:p>
    <w:p w14:paraId="0504BADA">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1、采用国家现行相关的国家标准和行业标准，磋商单位在磋商文件中明确注明。 </w:t>
      </w:r>
    </w:p>
    <w:p w14:paraId="2E1B1DD0">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2、采用行业标准的不得低于国家标准； </w:t>
      </w:r>
    </w:p>
    <w:p w14:paraId="0C9DD1A4">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3、同类标准中若国家有新颁布实施的，按新标准执行。 </w:t>
      </w:r>
    </w:p>
    <w:p w14:paraId="30BD09E9">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4、如没有国颁标准的，按相应的行业标准执行。  </w:t>
      </w:r>
    </w:p>
    <w:p w14:paraId="48E2A330">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二、项目概况 </w:t>
      </w:r>
    </w:p>
    <w:p w14:paraId="21B980E6">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bidi="ar"/>
        </w:rPr>
        <w:t>建设地点：</w:t>
      </w:r>
      <w:r>
        <w:rPr>
          <w:rFonts w:hint="eastAsia" w:cs="宋体"/>
          <w:color w:val="auto"/>
          <w:sz w:val="22"/>
          <w:highlight w:val="none"/>
          <w:lang w:val="en-US" w:eastAsia="zh-CN"/>
        </w:rPr>
        <w:t>赣榆区墩尚镇</w:t>
      </w:r>
      <w:r>
        <w:rPr>
          <w:rFonts w:hint="eastAsia" w:cs="宋体"/>
          <w:color w:val="auto"/>
          <w:sz w:val="22"/>
          <w:highlight w:val="none"/>
          <w:lang w:eastAsia="zh-CN"/>
        </w:rPr>
        <w:t>刘湾中心十字路-后舵桥</w:t>
      </w:r>
      <w:r>
        <w:rPr>
          <w:rFonts w:hint="eastAsia" w:ascii="宋体" w:hAnsi="宋体" w:eastAsia="宋体" w:cs="宋体"/>
          <w:color w:val="auto"/>
          <w:sz w:val="22"/>
          <w:szCs w:val="22"/>
          <w:highlight w:val="none"/>
          <w:lang w:val="en-US" w:eastAsia="zh-CN" w:bidi="ar"/>
        </w:rPr>
        <w:t>；</w:t>
      </w:r>
    </w:p>
    <w:p w14:paraId="65017EC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lang w:bidi="ar"/>
        </w:rPr>
        <w:t>采购需求：</w:t>
      </w:r>
      <w:r>
        <w:rPr>
          <w:rFonts w:hint="eastAsia" w:ascii="宋体" w:hAnsi="宋体" w:eastAsia="宋体" w:cs="宋体"/>
          <w:color w:val="auto"/>
          <w:sz w:val="22"/>
          <w:highlight w:val="none"/>
        </w:rPr>
        <w:t>本项目路线</w:t>
      </w:r>
      <w:r>
        <w:rPr>
          <w:rFonts w:hint="eastAsia" w:ascii="宋体" w:hAnsi="宋体" w:eastAsia="宋体" w:cs="宋体"/>
          <w:color w:val="auto"/>
          <w:sz w:val="22"/>
          <w:highlight w:val="none"/>
          <w:lang w:eastAsia="zh-CN"/>
        </w:rPr>
        <w:t>西起</w:t>
      </w:r>
      <w:r>
        <w:rPr>
          <w:rFonts w:hint="eastAsia" w:cs="宋体"/>
          <w:color w:val="auto"/>
          <w:sz w:val="22"/>
          <w:highlight w:val="none"/>
          <w:lang w:eastAsia="zh-CN"/>
        </w:rPr>
        <w:t>后舵桥</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设计起点桩号K0+000</w:t>
      </w:r>
      <w:r>
        <w:rPr>
          <w:rFonts w:hint="eastAsia" w:ascii="宋体" w:hAnsi="宋体" w:eastAsia="宋体" w:cs="宋体"/>
          <w:color w:val="auto"/>
          <w:sz w:val="22"/>
          <w:highlight w:val="none"/>
          <w:lang w:eastAsia="zh-CN"/>
        </w:rPr>
        <w:t>，</w:t>
      </w:r>
      <w:r>
        <w:rPr>
          <w:rFonts w:hint="eastAsia" w:cs="宋体"/>
          <w:color w:val="auto"/>
          <w:sz w:val="22"/>
          <w:highlight w:val="none"/>
          <w:lang w:eastAsia="zh-CN"/>
        </w:rPr>
        <w:t>南</w:t>
      </w:r>
      <w:r>
        <w:rPr>
          <w:rFonts w:hint="eastAsia" w:ascii="宋体" w:hAnsi="宋体" w:eastAsia="宋体" w:cs="宋体"/>
          <w:color w:val="auto"/>
          <w:sz w:val="22"/>
          <w:highlight w:val="none"/>
          <w:lang w:eastAsia="zh-CN"/>
        </w:rPr>
        <w:t>至</w:t>
      </w:r>
      <w:r>
        <w:rPr>
          <w:rFonts w:hint="eastAsia" w:cs="宋体"/>
          <w:color w:val="auto"/>
          <w:sz w:val="22"/>
          <w:highlight w:val="none"/>
          <w:lang w:eastAsia="zh-CN"/>
        </w:rPr>
        <w:t>刘湾中心十字路</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设计终点桩号K</w:t>
      </w: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rPr>
        <w:t>+</w:t>
      </w:r>
      <w:r>
        <w:rPr>
          <w:rFonts w:hint="eastAsia" w:cs="宋体"/>
          <w:color w:val="auto"/>
          <w:sz w:val="22"/>
          <w:highlight w:val="none"/>
          <w:lang w:val="en-US" w:eastAsia="zh-CN"/>
        </w:rPr>
        <w:t>435.460</w:t>
      </w:r>
      <w:r>
        <w:rPr>
          <w:rFonts w:hint="eastAsia" w:ascii="宋体" w:hAnsi="宋体" w:eastAsia="宋体" w:cs="宋体"/>
          <w:color w:val="auto"/>
          <w:sz w:val="22"/>
          <w:highlight w:val="none"/>
          <w:lang w:val="en-US" w:eastAsia="zh-CN"/>
        </w:rPr>
        <w:t>.</w:t>
      </w:r>
      <w:r>
        <w:rPr>
          <w:rFonts w:hint="eastAsia" w:ascii="宋体" w:hAnsi="宋体" w:eastAsia="宋体" w:cs="宋体"/>
          <w:color w:val="auto"/>
          <w:sz w:val="22"/>
          <w:highlight w:val="none"/>
          <w:lang w:eastAsia="zh-CN"/>
        </w:rPr>
        <w:t>道路全长约</w:t>
      </w:r>
      <w:r>
        <w:rPr>
          <w:rFonts w:hint="eastAsia" w:ascii="宋体" w:hAnsi="宋体" w:eastAsia="宋体" w:cs="宋体"/>
          <w:color w:val="auto"/>
          <w:sz w:val="22"/>
          <w:highlight w:val="none"/>
          <w:lang w:val="en-US" w:eastAsia="zh-CN"/>
        </w:rPr>
        <w:t>2.</w:t>
      </w:r>
      <w:r>
        <w:rPr>
          <w:rFonts w:hint="eastAsia" w:cs="宋体"/>
          <w:color w:val="auto"/>
          <w:sz w:val="22"/>
          <w:highlight w:val="none"/>
          <w:lang w:val="en-US" w:eastAsia="zh-CN"/>
        </w:rPr>
        <w:t>44</w:t>
      </w:r>
      <w:r>
        <w:rPr>
          <w:rFonts w:hint="eastAsia" w:ascii="宋体" w:hAnsi="宋体" w:eastAsia="宋体" w:cs="宋体"/>
          <w:color w:val="auto"/>
          <w:sz w:val="22"/>
          <w:highlight w:val="none"/>
          <w:lang w:val="en-US" w:eastAsia="zh-CN"/>
        </w:rPr>
        <w:t>公里</w:t>
      </w:r>
      <w:r>
        <w:rPr>
          <w:rFonts w:hint="eastAsia" w:cs="宋体"/>
          <w:color w:val="auto"/>
          <w:sz w:val="22"/>
          <w:highlight w:val="none"/>
          <w:lang w:val="en-US" w:eastAsia="zh-CN"/>
        </w:rPr>
        <w:t>,</w:t>
      </w:r>
      <w:r>
        <w:rPr>
          <w:rFonts w:hint="eastAsia" w:ascii="宋体" w:hAnsi="宋体" w:eastAsia="宋体" w:cs="宋体"/>
          <w:color w:val="auto"/>
          <w:sz w:val="22"/>
          <w:highlight w:val="none"/>
        </w:rPr>
        <w:t>全部沿老路布设</w:t>
      </w:r>
      <w:r>
        <w:rPr>
          <w:rFonts w:hint="eastAsia" w:ascii="宋体" w:hAnsi="宋体" w:eastAsia="宋体" w:cs="宋体"/>
          <w:color w:val="auto"/>
          <w:sz w:val="22"/>
          <w:highlight w:val="none"/>
          <w:lang w:eastAsia="zh-CN"/>
        </w:rPr>
        <w:t>。</w:t>
      </w:r>
      <w:r>
        <w:rPr>
          <w:rFonts w:hint="eastAsia" w:cs="宋体"/>
          <w:color w:val="auto"/>
          <w:sz w:val="22"/>
          <w:highlight w:val="none"/>
          <w:lang w:eastAsia="zh-CN"/>
        </w:rPr>
        <w:t>双侧</w:t>
      </w:r>
      <w:r>
        <w:rPr>
          <w:rFonts w:hint="eastAsia" w:ascii="宋体" w:hAnsi="宋体" w:eastAsia="宋体" w:cs="宋体"/>
          <w:color w:val="auto"/>
          <w:sz w:val="22"/>
          <w:highlight w:val="none"/>
          <w:lang w:eastAsia="zh-CN"/>
        </w:rPr>
        <w:t>拓宽</w:t>
      </w:r>
      <w:r>
        <w:rPr>
          <w:rFonts w:hint="eastAsia" w:cs="宋体"/>
          <w:color w:val="auto"/>
          <w:sz w:val="22"/>
          <w:highlight w:val="none"/>
          <w:lang w:eastAsia="zh-CN"/>
        </w:rPr>
        <w:t>，</w:t>
      </w:r>
      <w:r>
        <w:rPr>
          <w:rFonts w:hint="eastAsia" w:ascii="宋体" w:hAnsi="宋体" w:eastAsia="宋体" w:cs="宋体"/>
          <w:color w:val="auto"/>
          <w:sz w:val="22"/>
          <w:highlight w:val="none"/>
        </w:rPr>
        <w:t>采用C30，厚度</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20cm</w:t>
      </w:r>
      <w:r>
        <w:rPr>
          <w:rFonts w:hint="eastAsia" w:ascii="宋体" w:hAnsi="宋体" w:eastAsia="宋体" w:cs="宋体"/>
          <w:color w:val="auto"/>
          <w:sz w:val="22"/>
          <w:highlight w:val="none"/>
          <w:lang w:eastAsia="zh-CN"/>
        </w:rPr>
        <w:t>弯拉强度</w:t>
      </w:r>
      <w:r>
        <w:rPr>
          <w:rFonts w:hint="eastAsia" w:ascii="宋体" w:hAnsi="宋体" w:eastAsia="宋体" w:cs="宋体"/>
          <w:color w:val="auto"/>
          <w:sz w:val="22"/>
          <w:highlight w:val="none"/>
          <w:lang w:val="en-US" w:eastAsia="zh-CN"/>
        </w:rPr>
        <w:t>4.0MPa水泥混凝土</w:t>
      </w:r>
      <w:r>
        <w:rPr>
          <w:rFonts w:hint="eastAsia" w:ascii="宋体" w:hAnsi="宋体" w:eastAsia="宋体" w:cs="宋体"/>
          <w:color w:val="auto"/>
          <w:sz w:val="22"/>
          <w:highlight w:val="none"/>
        </w:rPr>
        <w:t>;</w:t>
      </w:r>
      <w:r>
        <w:rPr>
          <w:rFonts w:hint="eastAsia" w:cs="宋体"/>
          <w:color w:val="auto"/>
          <w:sz w:val="22"/>
          <w:highlight w:val="none"/>
          <w:lang w:eastAsia="zh-CN"/>
        </w:rPr>
        <w:t>整条道路加铺</w:t>
      </w:r>
      <w:r>
        <w:rPr>
          <w:rFonts w:hint="eastAsia" w:cs="宋体"/>
          <w:color w:val="auto"/>
          <w:sz w:val="22"/>
          <w:highlight w:val="none"/>
          <w:lang w:val="en-US" w:eastAsia="zh-CN"/>
        </w:rPr>
        <w:t>5cm厚AC-13细粒式沥青混凝土；</w:t>
      </w:r>
      <w:r>
        <w:rPr>
          <w:rFonts w:hint="eastAsia" w:ascii="宋体" w:hAnsi="宋体" w:eastAsia="宋体" w:cs="宋体"/>
          <w:color w:val="auto"/>
          <w:sz w:val="22"/>
          <w:highlight w:val="none"/>
          <w:lang w:val="en-US" w:eastAsia="zh-CN"/>
        </w:rPr>
        <w:t>交通标志工程等</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详见工程量清单</w:t>
      </w:r>
      <w:r>
        <w:rPr>
          <w:rFonts w:hint="eastAsia" w:ascii="宋体" w:hAnsi="宋体" w:eastAsia="宋体" w:cs="宋体"/>
          <w:color w:val="auto"/>
          <w:sz w:val="22"/>
          <w:highlight w:val="none"/>
          <w:lang w:val="en-US" w:eastAsia="zh-CN"/>
        </w:rPr>
        <w:t>及施工图纸</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w:t>
      </w:r>
    </w:p>
    <w:p w14:paraId="2ABEA266">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bidi="ar"/>
        </w:rPr>
        <w:t>承包方式：包工包料</w:t>
      </w:r>
      <w:r>
        <w:rPr>
          <w:rFonts w:hint="eastAsia" w:ascii="宋体" w:hAnsi="宋体" w:eastAsia="宋体" w:cs="宋体"/>
          <w:color w:val="auto"/>
          <w:sz w:val="22"/>
          <w:szCs w:val="22"/>
          <w:highlight w:val="none"/>
          <w:lang w:eastAsia="zh-CN" w:bidi="ar"/>
        </w:rPr>
        <w:t>；</w:t>
      </w:r>
    </w:p>
    <w:p w14:paraId="4BF98FF4">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lang w:eastAsia="zh-CN" w:bidi="ar"/>
        </w:rPr>
      </w:pPr>
      <w:r>
        <w:rPr>
          <w:rFonts w:hint="eastAsia" w:ascii="宋体" w:hAnsi="宋体" w:eastAsia="宋体" w:cs="宋体"/>
          <w:b/>
          <w:bCs/>
          <w:color w:val="auto"/>
          <w:sz w:val="22"/>
          <w:szCs w:val="22"/>
          <w:highlight w:val="none"/>
          <w:lang w:bidi="ar"/>
        </w:rPr>
        <w:t>★</w:t>
      </w:r>
      <w:r>
        <w:rPr>
          <w:rFonts w:hint="eastAsia" w:ascii="宋体" w:hAnsi="宋体" w:eastAsia="宋体" w:cs="宋体"/>
          <w:color w:val="auto"/>
          <w:sz w:val="22"/>
          <w:szCs w:val="22"/>
          <w:highlight w:val="none"/>
          <w:lang w:bidi="ar"/>
        </w:rPr>
        <w:t>质量标准：执行国家现行验收标准，等级为合格</w:t>
      </w:r>
      <w:r>
        <w:rPr>
          <w:rFonts w:hint="eastAsia" w:cs="宋体"/>
          <w:color w:val="auto"/>
          <w:sz w:val="22"/>
          <w:szCs w:val="22"/>
          <w:highlight w:val="none"/>
          <w:lang w:eastAsia="zh-CN" w:bidi="ar"/>
        </w:rPr>
        <w:t>。</w:t>
      </w:r>
    </w:p>
    <w:p w14:paraId="579723D9">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lang w:eastAsia="zh-CN" w:bidi="ar"/>
        </w:rPr>
      </w:pPr>
      <w:r>
        <w:rPr>
          <w:rFonts w:hint="eastAsia" w:ascii="宋体" w:hAnsi="宋体" w:eastAsia="宋体" w:cs="宋体"/>
          <w:b/>
          <w:bCs/>
          <w:color w:val="auto"/>
          <w:sz w:val="22"/>
          <w:szCs w:val="22"/>
          <w:highlight w:val="none"/>
          <w:lang w:bidi="ar"/>
        </w:rPr>
        <w:t>★</w:t>
      </w:r>
      <w:r>
        <w:rPr>
          <w:rFonts w:hint="eastAsia" w:ascii="宋体" w:hAnsi="宋体" w:eastAsia="宋体" w:cs="宋体"/>
          <w:color w:val="auto"/>
          <w:sz w:val="22"/>
          <w:szCs w:val="22"/>
          <w:highlight w:val="none"/>
          <w:lang w:bidi="ar"/>
        </w:rPr>
        <w:t>合同履行期限：</w:t>
      </w:r>
      <w:r>
        <w:rPr>
          <w:rFonts w:hint="eastAsia" w:cs="宋体"/>
          <w:color w:val="auto"/>
          <w:sz w:val="22"/>
          <w:highlight w:val="none"/>
          <w:lang w:val="en-US" w:eastAsia="zh-CN"/>
        </w:rPr>
        <w:t>45</w:t>
      </w:r>
      <w:r>
        <w:rPr>
          <w:rFonts w:hint="eastAsia" w:ascii="宋体" w:hAnsi="宋体" w:eastAsia="宋体" w:cs="宋体"/>
          <w:color w:val="auto"/>
          <w:sz w:val="22"/>
          <w:highlight w:val="none"/>
          <w:lang w:val="en-US" w:eastAsia="zh-CN"/>
        </w:rPr>
        <w:t>日历天（以实际开工令为准）</w:t>
      </w:r>
      <w:r>
        <w:rPr>
          <w:rFonts w:hint="eastAsia" w:ascii="宋体" w:hAnsi="宋体" w:eastAsia="宋体" w:cs="宋体"/>
          <w:color w:val="auto"/>
          <w:sz w:val="22"/>
          <w:highlight w:val="none"/>
          <w:lang w:eastAsia="zh-CN"/>
        </w:rPr>
        <w:t>。</w:t>
      </w:r>
    </w:p>
    <w:p w14:paraId="572134DC">
      <w:pPr>
        <w:keepNext w:val="0"/>
        <w:keepLines w:val="0"/>
        <w:pageBreakBefore w:val="0"/>
        <w:widowControl/>
        <w:spacing w:line="560" w:lineRule="exact"/>
        <w:ind w:firstLine="480"/>
        <w:jc w:val="left"/>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bidi="ar"/>
        </w:rPr>
        <w:t>★</w:t>
      </w:r>
      <w:r>
        <w:rPr>
          <w:rFonts w:hint="eastAsia" w:ascii="宋体" w:hAnsi="宋体" w:eastAsia="宋体" w:cs="宋体"/>
          <w:b/>
          <w:bCs w:val="0"/>
          <w:color w:val="auto"/>
          <w:sz w:val="22"/>
          <w:szCs w:val="22"/>
          <w:highlight w:val="none"/>
          <w:lang w:eastAsia="zh-CN" w:bidi="ar"/>
        </w:rPr>
        <w:t>付款方式：</w:t>
      </w:r>
      <w:r>
        <w:rPr>
          <w:rFonts w:hint="eastAsia" w:ascii="宋体" w:hAnsi="宋体" w:eastAsia="宋体" w:cs="宋体"/>
          <w:b/>
          <w:bCs/>
          <w:color w:val="auto"/>
          <w:sz w:val="22"/>
          <w:szCs w:val="22"/>
          <w:highlight w:val="none"/>
          <w:lang w:val="en-US" w:eastAsia="zh-CN" w:bidi="ar"/>
        </w:rPr>
        <w:t>合同签订结束，进场后7个工作日内预付合同价款的10%，工程完工经有关部门验收合格后付至已完合格工程量价款的80%，审计完成后付至审定价的97%；留3%质保金，待缺陷责任期满后支付到审计价款的100%。</w:t>
      </w:r>
    </w:p>
    <w:p w14:paraId="08C1615A">
      <w:pPr>
        <w:pStyle w:val="60"/>
        <w:keepNext w:val="0"/>
        <w:keepLines w:val="0"/>
        <w:pageBreakBefore w:val="0"/>
        <w:spacing w:line="560" w:lineRule="exact"/>
        <w:ind w:firstLine="482"/>
        <w:rPr>
          <w:rFonts w:hint="eastAsia" w:ascii="宋体" w:hAnsi="宋体" w:eastAsia="宋体" w:cs="宋体"/>
          <w:b/>
          <w:bCs w:val="0"/>
          <w:color w:val="auto"/>
          <w:sz w:val="22"/>
          <w:szCs w:val="22"/>
          <w:highlight w:val="none"/>
          <w:lang w:eastAsia="zh-CN" w:bidi="ar"/>
        </w:rPr>
      </w:pPr>
      <w:r>
        <w:rPr>
          <w:rFonts w:hint="eastAsia" w:ascii="宋体" w:hAnsi="宋体" w:eastAsia="宋体" w:cs="宋体"/>
          <w:b/>
          <w:bCs w:val="0"/>
          <w:color w:val="auto"/>
          <w:sz w:val="22"/>
          <w:szCs w:val="22"/>
          <w:highlight w:val="none"/>
          <w:lang w:eastAsia="zh-CN" w:bidi="ar"/>
        </w:rPr>
        <w:t>采购人对满足合同约定支付条件的项目自收到发票后10个工作日内将资金支付到约定的供应商账户 (以发票开具日期计算)。</w:t>
      </w:r>
    </w:p>
    <w:p w14:paraId="53B54EDB">
      <w:pPr>
        <w:rPr>
          <w:rFonts w:hint="eastAsia" w:ascii="宋体" w:hAnsi="宋体" w:eastAsia="宋体" w:cs="宋体"/>
          <w:b/>
          <w:bCs w:val="0"/>
          <w:color w:val="auto"/>
          <w:sz w:val="22"/>
          <w:szCs w:val="22"/>
          <w:highlight w:val="none"/>
          <w:lang w:eastAsia="zh-CN" w:bidi="ar"/>
        </w:rPr>
      </w:pPr>
    </w:p>
    <w:p w14:paraId="30DF0E26">
      <w:pPr>
        <w:pStyle w:val="2"/>
        <w:rPr>
          <w:rFonts w:hint="eastAsia" w:ascii="宋体" w:hAnsi="宋体" w:eastAsia="宋体" w:cs="宋体"/>
          <w:b/>
          <w:bCs w:val="0"/>
          <w:color w:val="auto"/>
          <w:sz w:val="22"/>
          <w:szCs w:val="22"/>
          <w:highlight w:val="none"/>
          <w:lang w:eastAsia="zh-CN" w:bidi="ar"/>
        </w:rPr>
      </w:pPr>
    </w:p>
    <w:p w14:paraId="480E06A6">
      <w:pPr>
        <w:rPr>
          <w:rFonts w:hint="eastAsia" w:ascii="宋体" w:hAnsi="宋体" w:eastAsia="宋体" w:cs="宋体"/>
          <w:b/>
          <w:bCs w:val="0"/>
          <w:color w:val="auto"/>
          <w:sz w:val="22"/>
          <w:szCs w:val="22"/>
          <w:highlight w:val="none"/>
          <w:lang w:eastAsia="zh-CN" w:bidi="ar"/>
        </w:rPr>
      </w:pPr>
    </w:p>
    <w:p w14:paraId="74C1FA1E">
      <w:pPr>
        <w:pStyle w:val="2"/>
        <w:rPr>
          <w:rFonts w:hint="eastAsia" w:ascii="宋体" w:hAnsi="宋体" w:eastAsia="宋体" w:cs="宋体"/>
          <w:b/>
          <w:bCs w:val="0"/>
          <w:color w:val="auto"/>
          <w:sz w:val="22"/>
          <w:szCs w:val="22"/>
          <w:highlight w:val="none"/>
          <w:lang w:eastAsia="zh-CN" w:bidi="ar"/>
        </w:rPr>
      </w:pPr>
    </w:p>
    <w:p w14:paraId="6C69C233">
      <w:pPr>
        <w:rPr>
          <w:rFonts w:hint="eastAsia" w:ascii="宋体" w:hAnsi="宋体" w:eastAsia="宋体" w:cs="宋体"/>
          <w:b/>
          <w:bCs w:val="0"/>
          <w:color w:val="auto"/>
          <w:sz w:val="22"/>
          <w:szCs w:val="22"/>
          <w:highlight w:val="none"/>
          <w:lang w:eastAsia="zh-CN" w:bidi="ar"/>
        </w:rPr>
      </w:pPr>
    </w:p>
    <w:p w14:paraId="15BF82D7">
      <w:pPr>
        <w:pStyle w:val="2"/>
        <w:rPr>
          <w:rFonts w:hint="eastAsia" w:ascii="宋体" w:hAnsi="宋体" w:eastAsia="宋体" w:cs="宋体"/>
          <w:b/>
          <w:bCs w:val="0"/>
          <w:color w:val="auto"/>
          <w:sz w:val="22"/>
          <w:szCs w:val="22"/>
          <w:highlight w:val="none"/>
          <w:lang w:eastAsia="zh-CN" w:bidi="ar"/>
        </w:rPr>
      </w:pPr>
    </w:p>
    <w:p w14:paraId="784C52D5">
      <w:pPr>
        <w:rPr>
          <w:rFonts w:hint="eastAsia" w:ascii="宋体" w:hAnsi="宋体" w:eastAsia="宋体" w:cs="宋体"/>
          <w:b/>
          <w:bCs w:val="0"/>
          <w:color w:val="auto"/>
          <w:sz w:val="22"/>
          <w:szCs w:val="22"/>
          <w:highlight w:val="none"/>
          <w:lang w:eastAsia="zh-CN" w:bidi="ar"/>
        </w:rPr>
      </w:pPr>
    </w:p>
    <w:p w14:paraId="51EE54A8">
      <w:pPr>
        <w:pStyle w:val="2"/>
        <w:rPr>
          <w:rFonts w:hint="eastAsia" w:ascii="宋体" w:hAnsi="宋体" w:eastAsia="宋体" w:cs="宋体"/>
          <w:b/>
          <w:bCs w:val="0"/>
          <w:color w:val="auto"/>
          <w:sz w:val="22"/>
          <w:szCs w:val="22"/>
          <w:highlight w:val="none"/>
          <w:lang w:eastAsia="zh-CN" w:bidi="ar"/>
        </w:rPr>
      </w:pPr>
    </w:p>
    <w:p w14:paraId="161FD029">
      <w:pPr>
        <w:rPr>
          <w:rFonts w:hint="eastAsia" w:ascii="宋体" w:hAnsi="宋体" w:eastAsia="宋体" w:cs="宋体"/>
          <w:b/>
          <w:bCs w:val="0"/>
          <w:color w:val="auto"/>
          <w:sz w:val="22"/>
          <w:szCs w:val="22"/>
          <w:highlight w:val="none"/>
          <w:lang w:eastAsia="zh-CN" w:bidi="ar"/>
        </w:rPr>
      </w:pPr>
    </w:p>
    <w:p w14:paraId="2D04F6F0">
      <w:pPr>
        <w:pStyle w:val="2"/>
        <w:rPr>
          <w:rFonts w:hint="eastAsia" w:ascii="宋体" w:hAnsi="宋体" w:eastAsia="宋体" w:cs="宋体"/>
          <w:b/>
          <w:bCs w:val="0"/>
          <w:color w:val="auto"/>
          <w:sz w:val="22"/>
          <w:szCs w:val="22"/>
          <w:highlight w:val="none"/>
          <w:lang w:eastAsia="zh-CN" w:bidi="ar"/>
        </w:rPr>
      </w:pPr>
    </w:p>
    <w:p w14:paraId="4B40E6C1">
      <w:pPr>
        <w:rPr>
          <w:rFonts w:hint="eastAsia" w:ascii="宋体" w:hAnsi="宋体" w:eastAsia="宋体" w:cs="宋体"/>
          <w:b/>
          <w:bCs w:val="0"/>
          <w:color w:val="auto"/>
          <w:sz w:val="22"/>
          <w:szCs w:val="22"/>
          <w:highlight w:val="none"/>
          <w:lang w:eastAsia="zh-CN" w:bidi="ar"/>
        </w:rPr>
      </w:pPr>
    </w:p>
    <w:p w14:paraId="742DE7C9">
      <w:pPr>
        <w:pStyle w:val="2"/>
        <w:rPr>
          <w:rFonts w:hint="eastAsia" w:ascii="宋体" w:hAnsi="宋体" w:eastAsia="宋体" w:cs="宋体"/>
          <w:b/>
          <w:bCs w:val="0"/>
          <w:color w:val="auto"/>
          <w:sz w:val="22"/>
          <w:szCs w:val="22"/>
          <w:highlight w:val="none"/>
          <w:lang w:eastAsia="zh-CN" w:bidi="ar"/>
        </w:rPr>
      </w:pPr>
    </w:p>
    <w:p w14:paraId="518087A2">
      <w:pPr>
        <w:rPr>
          <w:rFonts w:hint="eastAsia"/>
          <w:lang w:eastAsia="zh-CN"/>
        </w:rPr>
      </w:pPr>
    </w:p>
    <w:p w14:paraId="01CA22FE">
      <w:pPr>
        <w:pStyle w:val="2"/>
        <w:rPr>
          <w:rFonts w:hint="eastAsia"/>
          <w:lang w:eastAsia="zh-CN"/>
        </w:rPr>
      </w:pPr>
    </w:p>
    <w:p w14:paraId="5CAAB49C">
      <w:pPr>
        <w:rPr>
          <w:rFonts w:hint="eastAsia"/>
          <w:lang w:eastAsia="zh-CN"/>
        </w:rPr>
      </w:pPr>
    </w:p>
    <w:p w14:paraId="278ED1F4">
      <w:pPr>
        <w:pStyle w:val="2"/>
        <w:rPr>
          <w:rFonts w:hint="eastAsia"/>
          <w:lang w:eastAsia="zh-CN"/>
        </w:rPr>
      </w:pPr>
    </w:p>
    <w:p w14:paraId="4191FB88">
      <w:pPr>
        <w:rPr>
          <w:rFonts w:hint="eastAsia" w:ascii="宋体" w:hAnsi="宋体" w:eastAsia="宋体" w:cs="宋体"/>
          <w:b/>
          <w:bCs w:val="0"/>
          <w:color w:val="auto"/>
          <w:sz w:val="22"/>
          <w:szCs w:val="22"/>
          <w:highlight w:val="none"/>
          <w:lang w:eastAsia="zh-CN" w:bidi="ar"/>
        </w:rPr>
      </w:pPr>
    </w:p>
    <w:p w14:paraId="0523F16E">
      <w:pPr>
        <w:pStyle w:val="2"/>
        <w:rPr>
          <w:rFonts w:hint="eastAsia" w:ascii="宋体" w:hAnsi="宋体" w:eastAsia="宋体" w:cs="宋体"/>
          <w:b/>
          <w:bCs w:val="0"/>
          <w:color w:val="auto"/>
          <w:sz w:val="22"/>
          <w:szCs w:val="22"/>
          <w:highlight w:val="none"/>
          <w:lang w:eastAsia="zh-CN" w:bidi="ar"/>
        </w:rPr>
      </w:pPr>
    </w:p>
    <w:p w14:paraId="5045FFFE">
      <w:pPr>
        <w:rPr>
          <w:rFonts w:hint="eastAsia"/>
        </w:rPr>
      </w:pPr>
    </w:p>
    <w:p w14:paraId="36FC9CA2">
      <w:pPr>
        <w:pStyle w:val="5"/>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p>
    <w:p w14:paraId="470032D8">
      <w:pPr>
        <w:pStyle w:val="5"/>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第五</w:t>
      </w:r>
      <w:r>
        <w:rPr>
          <w:rFonts w:hint="eastAsia" w:ascii="宋体" w:hAnsi="宋体" w:eastAsia="宋体" w:cs="宋体"/>
          <w:b/>
          <w:color w:val="auto"/>
          <w:sz w:val="32"/>
          <w:highlight w:val="none"/>
          <w:lang w:val="en-US" w:eastAsia="zh-CN"/>
        </w:rPr>
        <w:t>章</w:t>
      </w:r>
      <w:r>
        <w:rPr>
          <w:rFonts w:hint="eastAsia" w:ascii="宋体" w:hAnsi="宋体" w:eastAsia="宋体" w:cs="宋体"/>
          <w:b/>
          <w:color w:val="auto"/>
          <w:sz w:val="32"/>
          <w:highlight w:val="none"/>
        </w:rPr>
        <w:t> 工程量清单</w:t>
      </w:r>
    </w:p>
    <w:p w14:paraId="25F10B61">
      <w:pPr>
        <w:jc w:val="center"/>
        <w:rPr>
          <w:rFonts w:hint="eastAsia" w:ascii="宋体" w:hAnsi="宋体" w:eastAsia="宋体" w:cs="宋体"/>
          <w:b/>
          <w:bCs/>
          <w:color w:val="auto"/>
          <w:sz w:val="32"/>
          <w:szCs w:val="32"/>
          <w:highlight w:val="none"/>
          <w:lang w:val="en-US" w:eastAsia="en-US" w:bidi="ar-SA"/>
        </w:rPr>
      </w:pPr>
      <w:r>
        <w:rPr>
          <w:rFonts w:hint="eastAsia" w:ascii="宋体" w:hAnsi="宋体" w:eastAsia="宋体" w:cs="宋体"/>
          <w:b/>
          <w:bCs/>
          <w:color w:val="auto"/>
          <w:sz w:val="32"/>
          <w:szCs w:val="32"/>
          <w:highlight w:val="none"/>
          <w:lang w:val="en-US" w:eastAsia="en-US" w:bidi="ar-SA"/>
        </w:rPr>
        <w:t>（另附）</w:t>
      </w:r>
    </w:p>
    <w:p w14:paraId="13282BE0">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p>
    <w:p w14:paraId="42496F29">
      <w:pPr>
        <w:pStyle w:val="5"/>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第六章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 磋商响应文件格式</w:t>
      </w:r>
    </w:p>
    <w:p w14:paraId="59A771FF">
      <w:pPr>
        <w:widowControl/>
        <w:spacing w:line="360" w:lineRule="auto"/>
        <w:ind w:firstLine="860"/>
        <w:jc w:val="center"/>
        <w:rPr>
          <w:rFonts w:hint="eastAsia" w:ascii="宋体" w:hAnsi="宋体" w:eastAsia="宋体" w:cs="宋体"/>
          <w:color w:val="auto"/>
          <w:sz w:val="43"/>
          <w:szCs w:val="43"/>
          <w:highlight w:val="none"/>
          <w:lang w:bidi="ar"/>
        </w:rPr>
      </w:pPr>
    </w:p>
    <w:p w14:paraId="2C11A845">
      <w:pPr>
        <w:widowControl/>
        <w:spacing w:line="360" w:lineRule="auto"/>
        <w:ind w:firstLine="860"/>
        <w:jc w:val="center"/>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(封 面)</w:t>
      </w:r>
    </w:p>
    <w:p w14:paraId="52A78789">
      <w:pPr>
        <w:pStyle w:val="60"/>
        <w:ind w:firstLine="480"/>
        <w:rPr>
          <w:rFonts w:hint="eastAsia" w:ascii="宋体" w:hAnsi="宋体" w:eastAsia="宋体" w:cs="宋体"/>
          <w:color w:val="auto"/>
          <w:highlight w:val="none"/>
        </w:rPr>
      </w:pPr>
    </w:p>
    <w:p w14:paraId="3297E4FA">
      <w:pPr>
        <w:widowControl/>
        <w:spacing w:line="360" w:lineRule="auto"/>
        <w:ind w:firstLine="720"/>
        <w:jc w:val="left"/>
        <w:rPr>
          <w:rFonts w:hint="eastAsia"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_______________________________</w:t>
      </w:r>
      <w:r>
        <w:rPr>
          <w:rFonts w:hint="eastAsia" w:ascii="宋体" w:hAnsi="宋体" w:eastAsia="宋体" w:cs="宋体"/>
          <w:color w:val="auto"/>
          <w:sz w:val="43"/>
          <w:szCs w:val="43"/>
          <w:highlight w:val="none"/>
          <w:lang w:bidi="ar"/>
        </w:rPr>
        <w:t xml:space="preserve">工程 </w:t>
      </w:r>
    </w:p>
    <w:p w14:paraId="2E2B052F">
      <w:pPr>
        <w:pStyle w:val="60"/>
        <w:ind w:firstLine="480"/>
        <w:rPr>
          <w:rFonts w:hint="eastAsia" w:ascii="宋体" w:hAnsi="宋体" w:eastAsia="宋体" w:cs="宋体"/>
          <w:color w:val="auto"/>
          <w:highlight w:val="none"/>
        </w:rPr>
      </w:pPr>
    </w:p>
    <w:p w14:paraId="436FEF0E">
      <w:pPr>
        <w:widowControl/>
        <w:spacing w:line="360" w:lineRule="auto"/>
        <w:jc w:val="center"/>
        <w:rPr>
          <w:rFonts w:hint="eastAsia" w:ascii="宋体" w:hAnsi="宋体" w:eastAsia="宋体" w:cs="宋体"/>
          <w:b/>
          <w:bCs/>
          <w:color w:val="auto"/>
          <w:sz w:val="72"/>
          <w:szCs w:val="72"/>
          <w:highlight w:val="none"/>
          <w:lang w:bidi="ar"/>
        </w:rPr>
      </w:pPr>
    </w:p>
    <w:p w14:paraId="791BB6EA">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72"/>
          <w:szCs w:val="72"/>
          <w:highlight w:val="none"/>
          <w:lang w:bidi="ar"/>
        </w:rPr>
        <w:t>竞争性磋商响应文件</w:t>
      </w:r>
    </w:p>
    <w:p w14:paraId="44C778EA">
      <w:pPr>
        <w:widowControl/>
        <w:spacing w:line="360" w:lineRule="auto"/>
        <w:jc w:val="center"/>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项目编号：</w:t>
      </w:r>
    </w:p>
    <w:p w14:paraId="01F36CC7">
      <w:pPr>
        <w:rPr>
          <w:rFonts w:hint="eastAsia" w:ascii="宋体" w:hAnsi="宋体" w:eastAsia="宋体" w:cs="宋体"/>
          <w:color w:val="auto"/>
          <w:sz w:val="36"/>
          <w:szCs w:val="36"/>
          <w:highlight w:val="none"/>
          <w:lang w:bidi="ar"/>
        </w:rPr>
      </w:pPr>
    </w:p>
    <w:p w14:paraId="69B927A9">
      <w:pPr>
        <w:pStyle w:val="16"/>
        <w:rPr>
          <w:rFonts w:hint="eastAsia" w:ascii="宋体" w:hAnsi="宋体" w:eastAsia="宋体" w:cs="宋体"/>
          <w:color w:val="auto"/>
          <w:sz w:val="36"/>
          <w:szCs w:val="36"/>
          <w:highlight w:val="none"/>
          <w:lang w:bidi="ar"/>
        </w:rPr>
      </w:pPr>
    </w:p>
    <w:p w14:paraId="2742E098">
      <w:pPr>
        <w:rPr>
          <w:rFonts w:hint="eastAsia" w:ascii="宋体" w:hAnsi="宋体" w:eastAsia="宋体" w:cs="宋体"/>
          <w:color w:val="auto"/>
          <w:highlight w:val="none"/>
        </w:rPr>
      </w:pPr>
    </w:p>
    <w:p w14:paraId="7894BB3D">
      <w:pPr>
        <w:pStyle w:val="60"/>
        <w:ind w:firstLine="720"/>
        <w:rPr>
          <w:rFonts w:hint="eastAsia" w:ascii="宋体" w:hAnsi="宋体" w:eastAsia="宋体" w:cs="宋体"/>
          <w:color w:val="auto"/>
          <w:sz w:val="36"/>
          <w:szCs w:val="36"/>
          <w:highlight w:val="none"/>
          <w:lang w:bidi="ar"/>
        </w:rPr>
      </w:pPr>
    </w:p>
    <w:p w14:paraId="6D3E6346">
      <w:pPr>
        <w:pStyle w:val="60"/>
        <w:ind w:firstLine="480"/>
        <w:rPr>
          <w:rFonts w:hint="eastAsia" w:ascii="宋体" w:hAnsi="宋体" w:eastAsia="宋体" w:cs="宋体"/>
          <w:color w:val="auto"/>
          <w:highlight w:val="none"/>
        </w:rPr>
      </w:pPr>
    </w:p>
    <w:p w14:paraId="235081E8">
      <w:pPr>
        <w:rPr>
          <w:rFonts w:hint="eastAsia" w:ascii="宋体" w:hAnsi="宋体" w:eastAsia="宋体" w:cs="宋体"/>
          <w:color w:val="auto"/>
          <w:highlight w:val="none"/>
        </w:rPr>
      </w:pPr>
    </w:p>
    <w:p w14:paraId="374AEBF2">
      <w:pPr>
        <w:widowControl/>
        <w:spacing w:line="360" w:lineRule="auto"/>
        <w:ind w:firstLine="600"/>
        <w:jc w:val="left"/>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p>
    <w:p w14:paraId="3C20BDD6">
      <w:pPr>
        <w:widowControl/>
        <w:spacing w:line="360" w:lineRule="auto"/>
        <w:ind w:firstLine="600"/>
        <w:jc w:val="left"/>
        <w:rPr>
          <w:rFonts w:hint="eastAsia" w:ascii="宋体" w:hAnsi="宋体" w:eastAsia="宋体" w:cs="宋体"/>
          <w:color w:val="auto"/>
          <w:sz w:val="30"/>
          <w:szCs w:val="30"/>
          <w:highlight w:val="none"/>
          <w:lang w:bidi="ar"/>
        </w:rPr>
      </w:pPr>
    </w:p>
    <w:p w14:paraId="2F5B8466">
      <w:pPr>
        <w:widowControl/>
        <w:spacing w:line="360" w:lineRule="auto"/>
        <w:ind w:firstLine="600"/>
        <w:jc w:val="left"/>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p>
    <w:p w14:paraId="4F49A2A3">
      <w:pPr>
        <w:widowControl/>
        <w:spacing w:line="360" w:lineRule="auto"/>
        <w:ind w:firstLine="600"/>
        <w:jc w:val="left"/>
        <w:rPr>
          <w:rFonts w:hint="eastAsia" w:ascii="宋体" w:hAnsi="宋体" w:eastAsia="宋体" w:cs="宋体"/>
          <w:color w:val="auto"/>
          <w:sz w:val="30"/>
          <w:szCs w:val="30"/>
          <w:highlight w:val="none"/>
          <w:lang w:bidi="ar"/>
        </w:rPr>
      </w:pPr>
    </w:p>
    <w:p w14:paraId="5DA91332">
      <w:pPr>
        <w:widowControl/>
        <w:spacing w:line="360" w:lineRule="auto"/>
        <w:ind w:firstLine="600"/>
        <w:jc w:val="left"/>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日</w:t>
      </w:r>
    </w:p>
    <w:p w14:paraId="7F5343AA">
      <w:pPr>
        <w:rPr>
          <w:rFonts w:hint="eastAsia" w:ascii="宋体" w:hAnsi="宋体" w:eastAsia="宋体" w:cs="宋体"/>
          <w:color w:val="auto"/>
          <w:highlight w:val="none"/>
        </w:rPr>
      </w:pPr>
    </w:p>
    <w:p w14:paraId="77A39749">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r>
    </w:p>
    <w:p w14:paraId="33A6A7E9">
      <w:pPr>
        <w:widowControl/>
        <w:spacing w:line="360" w:lineRule="auto"/>
        <w:ind w:firstLine="620"/>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响应文件主要目录</w:t>
      </w:r>
    </w:p>
    <w:p w14:paraId="2C4DC3D8">
      <w:pPr>
        <w:widowControl/>
        <w:spacing w:line="360" w:lineRule="auto"/>
        <w:ind w:firstLine="480"/>
        <w:jc w:val="cente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(格式自定，请标记页码)</w:t>
      </w:r>
    </w:p>
    <w:p w14:paraId="353BE921">
      <w:pPr>
        <w:spacing w:line="440" w:lineRule="exact"/>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1、磋商响应函 </w:t>
      </w:r>
    </w:p>
    <w:p w14:paraId="714A25DC">
      <w:pPr>
        <w:spacing w:line="440" w:lineRule="exact"/>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2、开标一览表（首次磋商响应报价表）</w:t>
      </w:r>
    </w:p>
    <w:p w14:paraId="630D9A15">
      <w:pPr>
        <w:spacing w:line="440" w:lineRule="exact"/>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3、已标价工程量清单</w:t>
      </w:r>
    </w:p>
    <w:p w14:paraId="378032C8">
      <w:pPr>
        <w:spacing w:line="440" w:lineRule="exact"/>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4、政府采购政策</w:t>
      </w:r>
    </w:p>
    <w:p w14:paraId="44871E95">
      <w:pPr>
        <w:spacing w:line="440" w:lineRule="exact"/>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5、资格审查材料 </w:t>
      </w:r>
    </w:p>
    <w:p w14:paraId="1F7F1C34">
      <w:pPr>
        <w:spacing w:line="440" w:lineRule="exact"/>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6、法定代表人身份证明(格式)，授权委托书(格式)</w:t>
      </w:r>
    </w:p>
    <w:p w14:paraId="58F15775">
      <w:pPr>
        <w:spacing w:line="440" w:lineRule="exact"/>
        <w:ind w:firstLine="280"/>
        <w:rPr>
          <w:rFonts w:hint="eastAsia" w:ascii="宋体" w:hAnsi="宋体" w:eastAsia="宋体" w:cs="宋体"/>
          <w:color w:val="auto"/>
          <w:sz w:val="28"/>
          <w:szCs w:val="28"/>
          <w:highlight w:val="none"/>
          <w:lang w:bidi="ar"/>
        </w:rPr>
      </w:pPr>
      <w:r>
        <w:rPr>
          <w:rFonts w:hint="eastAsia" w:cs="宋体"/>
          <w:color w:val="auto"/>
          <w:sz w:val="28"/>
          <w:szCs w:val="28"/>
          <w:highlight w:val="none"/>
          <w:lang w:val="en-US" w:eastAsia="zh-CN" w:bidi="ar"/>
        </w:rPr>
        <w:t>7</w:t>
      </w:r>
      <w:r>
        <w:rPr>
          <w:rFonts w:hint="eastAsia" w:ascii="宋体" w:hAnsi="宋体" w:eastAsia="宋体" w:cs="宋体"/>
          <w:color w:val="auto"/>
          <w:sz w:val="28"/>
          <w:szCs w:val="28"/>
          <w:highlight w:val="none"/>
          <w:lang w:bidi="ar"/>
        </w:rPr>
        <w:t>、商务条款偏离表</w:t>
      </w:r>
    </w:p>
    <w:p w14:paraId="66F78313">
      <w:pPr>
        <w:spacing w:line="440" w:lineRule="exact"/>
        <w:ind w:firstLine="280"/>
        <w:rPr>
          <w:rFonts w:hint="eastAsia" w:ascii="宋体" w:hAnsi="宋体" w:eastAsia="宋体" w:cs="宋体"/>
          <w:color w:val="auto"/>
          <w:sz w:val="28"/>
          <w:szCs w:val="28"/>
          <w:highlight w:val="none"/>
          <w:lang w:bidi="ar"/>
        </w:rPr>
      </w:pPr>
      <w:r>
        <w:rPr>
          <w:rFonts w:hint="eastAsia" w:cs="宋体"/>
          <w:color w:val="auto"/>
          <w:sz w:val="28"/>
          <w:szCs w:val="28"/>
          <w:highlight w:val="none"/>
          <w:lang w:val="en-US" w:eastAsia="zh-CN" w:bidi="ar"/>
        </w:rPr>
        <w:t>8</w:t>
      </w:r>
      <w:r>
        <w:rPr>
          <w:rFonts w:hint="eastAsia" w:ascii="宋体" w:hAnsi="宋体" w:eastAsia="宋体" w:cs="宋体"/>
          <w:color w:val="auto"/>
          <w:sz w:val="28"/>
          <w:szCs w:val="28"/>
          <w:highlight w:val="none"/>
          <w:lang w:bidi="ar"/>
        </w:rPr>
        <w:t>、技术标</w:t>
      </w:r>
    </w:p>
    <w:p w14:paraId="39174369">
      <w:pPr>
        <w:spacing w:line="440" w:lineRule="exact"/>
        <w:ind w:firstLine="280"/>
        <w:rPr>
          <w:rFonts w:hint="eastAsia" w:ascii="宋体" w:hAnsi="宋体" w:eastAsia="宋体" w:cs="宋体"/>
          <w:color w:val="auto"/>
          <w:sz w:val="28"/>
          <w:szCs w:val="28"/>
          <w:highlight w:val="none"/>
          <w:lang w:bidi="ar"/>
        </w:rPr>
      </w:pPr>
      <w:r>
        <w:rPr>
          <w:rFonts w:hint="eastAsia" w:cs="宋体"/>
          <w:color w:val="auto"/>
          <w:sz w:val="28"/>
          <w:szCs w:val="28"/>
          <w:highlight w:val="none"/>
          <w:lang w:val="en-US" w:eastAsia="zh-CN" w:bidi="ar"/>
        </w:rPr>
        <w:t>9</w:t>
      </w:r>
      <w:r>
        <w:rPr>
          <w:rFonts w:hint="eastAsia" w:ascii="宋体" w:hAnsi="宋体" w:eastAsia="宋体" w:cs="宋体"/>
          <w:color w:val="auto"/>
          <w:sz w:val="28"/>
          <w:szCs w:val="28"/>
          <w:highlight w:val="none"/>
          <w:lang w:bidi="ar"/>
        </w:rPr>
        <w:t>、其他竞争性磋商文件要求与评标有关的所有资料</w:t>
      </w:r>
    </w:p>
    <w:p w14:paraId="4871F7DA">
      <w:pPr>
        <w:pStyle w:val="60"/>
        <w:ind w:firstLine="480"/>
        <w:rPr>
          <w:rFonts w:hint="eastAsia" w:ascii="宋体" w:hAnsi="宋体" w:eastAsia="宋体" w:cs="宋体"/>
          <w:color w:val="auto"/>
          <w:highlight w:val="none"/>
        </w:rPr>
      </w:pPr>
    </w:p>
    <w:p w14:paraId="0C5F0E42">
      <w:pPr>
        <w:rPr>
          <w:rFonts w:hint="eastAsia" w:ascii="宋体" w:hAnsi="宋体" w:eastAsia="宋体" w:cs="宋体"/>
          <w:color w:val="auto"/>
          <w:highlight w:val="none"/>
        </w:rPr>
      </w:pPr>
    </w:p>
    <w:p w14:paraId="3F7858B8">
      <w:pPr>
        <w:pStyle w:val="60"/>
        <w:ind w:firstLine="480"/>
        <w:rPr>
          <w:rFonts w:hint="eastAsia" w:ascii="宋体" w:hAnsi="宋体" w:eastAsia="宋体" w:cs="宋体"/>
          <w:color w:val="auto"/>
          <w:highlight w:val="none"/>
        </w:rPr>
      </w:pPr>
    </w:p>
    <w:p w14:paraId="3F8C620B">
      <w:pPr>
        <w:rPr>
          <w:rFonts w:hint="eastAsia" w:ascii="宋体" w:hAnsi="宋体" w:eastAsia="宋体" w:cs="宋体"/>
          <w:color w:val="auto"/>
          <w:highlight w:val="none"/>
        </w:rPr>
      </w:pPr>
    </w:p>
    <w:p w14:paraId="246ED668">
      <w:pPr>
        <w:pStyle w:val="60"/>
        <w:ind w:firstLine="480"/>
        <w:rPr>
          <w:rFonts w:hint="eastAsia" w:ascii="宋体" w:hAnsi="宋体" w:eastAsia="宋体" w:cs="宋体"/>
          <w:color w:val="auto"/>
          <w:highlight w:val="none"/>
        </w:rPr>
      </w:pPr>
    </w:p>
    <w:p w14:paraId="52588F18">
      <w:pPr>
        <w:rPr>
          <w:rFonts w:hint="eastAsia" w:ascii="宋体" w:hAnsi="宋体" w:eastAsia="宋体" w:cs="宋体"/>
          <w:color w:val="auto"/>
          <w:highlight w:val="none"/>
        </w:rPr>
      </w:pPr>
    </w:p>
    <w:p w14:paraId="20D7CAC7">
      <w:pPr>
        <w:pStyle w:val="60"/>
        <w:ind w:firstLine="480"/>
        <w:rPr>
          <w:rFonts w:hint="eastAsia" w:ascii="宋体" w:hAnsi="宋体" w:eastAsia="宋体" w:cs="宋体"/>
          <w:color w:val="auto"/>
          <w:highlight w:val="none"/>
        </w:rPr>
      </w:pPr>
    </w:p>
    <w:p w14:paraId="1F6B8E3E">
      <w:pPr>
        <w:rPr>
          <w:rFonts w:hint="eastAsia" w:ascii="宋体" w:hAnsi="宋体" w:eastAsia="宋体" w:cs="宋体"/>
          <w:color w:val="auto"/>
          <w:highlight w:val="none"/>
        </w:rPr>
      </w:pPr>
    </w:p>
    <w:p w14:paraId="67508FE5">
      <w:pPr>
        <w:pStyle w:val="60"/>
        <w:ind w:firstLine="480"/>
        <w:rPr>
          <w:rFonts w:hint="eastAsia" w:ascii="宋体" w:hAnsi="宋体" w:eastAsia="宋体" w:cs="宋体"/>
          <w:color w:val="auto"/>
          <w:highlight w:val="none"/>
        </w:rPr>
      </w:pPr>
    </w:p>
    <w:p w14:paraId="7F318DFA">
      <w:pPr>
        <w:rPr>
          <w:rFonts w:hint="eastAsia" w:ascii="宋体" w:hAnsi="宋体" w:eastAsia="宋体" w:cs="宋体"/>
          <w:color w:val="auto"/>
          <w:highlight w:val="none"/>
        </w:rPr>
      </w:pPr>
    </w:p>
    <w:p w14:paraId="6C59299F">
      <w:pPr>
        <w:pStyle w:val="60"/>
        <w:ind w:firstLine="480"/>
        <w:rPr>
          <w:rFonts w:hint="eastAsia" w:ascii="宋体" w:hAnsi="宋体" w:eastAsia="宋体" w:cs="宋体"/>
          <w:color w:val="auto"/>
          <w:highlight w:val="none"/>
        </w:rPr>
      </w:pPr>
    </w:p>
    <w:p w14:paraId="0B25B3A0">
      <w:pPr>
        <w:rPr>
          <w:rFonts w:hint="eastAsia" w:ascii="宋体" w:hAnsi="宋体" w:eastAsia="宋体" w:cs="宋体"/>
          <w:color w:val="auto"/>
          <w:highlight w:val="none"/>
        </w:rPr>
      </w:pPr>
    </w:p>
    <w:p w14:paraId="2DC8BF27">
      <w:pPr>
        <w:pStyle w:val="18"/>
        <w:rPr>
          <w:rFonts w:hint="eastAsia" w:ascii="宋体" w:hAnsi="宋体" w:eastAsia="宋体" w:cs="宋体"/>
          <w:color w:val="auto"/>
          <w:highlight w:val="none"/>
        </w:rPr>
      </w:pPr>
    </w:p>
    <w:p w14:paraId="31D17ED3">
      <w:pPr>
        <w:pStyle w:val="18"/>
        <w:rPr>
          <w:rFonts w:hint="eastAsia" w:ascii="宋体" w:hAnsi="宋体" w:eastAsia="宋体" w:cs="宋体"/>
          <w:color w:val="auto"/>
          <w:highlight w:val="none"/>
        </w:rPr>
      </w:pPr>
    </w:p>
    <w:p w14:paraId="7E399F00">
      <w:pPr>
        <w:pStyle w:val="18"/>
        <w:rPr>
          <w:rFonts w:hint="eastAsia" w:ascii="宋体" w:hAnsi="宋体" w:eastAsia="宋体" w:cs="宋体"/>
          <w:color w:val="auto"/>
          <w:highlight w:val="none"/>
        </w:rPr>
      </w:pPr>
    </w:p>
    <w:p w14:paraId="43CCADA8">
      <w:pPr>
        <w:pStyle w:val="18"/>
        <w:rPr>
          <w:rFonts w:hint="eastAsia" w:ascii="宋体" w:hAnsi="宋体" w:eastAsia="宋体" w:cs="宋体"/>
          <w:color w:val="auto"/>
          <w:highlight w:val="none"/>
        </w:rPr>
      </w:pPr>
    </w:p>
    <w:p w14:paraId="01A101C0">
      <w:pPr>
        <w:pStyle w:val="18"/>
        <w:rPr>
          <w:rFonts w:hint="eastAsia" w:ascii="宋体" w:hAnsi="宋体" w:eastAsia="宋体" w:cs="宋体"/>
          <w:color w:val="auto"/>
          <w:highlight w:val="none"/>
        </w:rPr>
      </w:pPr>
    </w:p>
    <w:p w14:paraId="17A31309">
      <w:pPr>
        <w:pStyle w:val="18"/>
        <w:rPr>
          <w:rFonts w:hint="eastAsia" w:ascii="宋体" w:hAnsi="宋体" w:eastAsia="宋体" w:cs="宋体"/>
          <w:color w:val="auto"/>
          <w:highlight w:val="none"/>
        </w:rPr>
      </w:pPr>
    </w:p>
    <w:p w14:paraId="785875C8">
      <w:pPr>
        <w:pStyle w:val="18"/>
        <w:rPr>
          <w:rFonts w:hint="eastAsia" w:ascii="宋体" w:hAnsi="宋体" w:eastAsia="宋体" w:cs="宋体"/>
          <w:color w:val="auto"/>
          <w:highlight w:val="none"/>
        </w:rPr>
      </w:pPr>
    </w:p>
    <w:p w14:paraId="0CE180E6">
      <w:pPr>
        <w:pStyle w:val="18"/>
        <w:rPr>
          <w:rFonts w:hint="eastAsia" w:ascii="宋体" w:hAnsi="宋体" w:eastAsia="宋体" w:cs="宋体"/>
          <w:color w:val="auto"/>
          <w:highlight w:val="none"/>
        </w:rPr>
      </w:pPr>
    </w:p>
    <w:p w14:paraId="4C718081">
      <w:pPr>
        <w:pStyle w:val="18"/>
        <w:rPr>
          <w:rFonts w:hint="eastAsia" w:ascii="宋体" w:hAnsi="宋体" w:eastAsia="宋体" w:cs="宋体"/>
          <w:color w:val="auto"/>
          <w:highlight w:val="none"/>
        </w:rPr>
      </w:pPr>
    </w:p>
    <w:p w14:paraId="43891478">
      <w:pPr>
        <w:pStyle w:val="18"/>
        <w:rPr>
          <w:rFonts w:hint="eastAsia" w:ascii="宋体" w:hAnsi="宋体" w:eastAsia="宋体" w:cs="宋体"/>
          <w:color w:val="auto"/>
          <w:highlight w:val="none"/>
        </w:rPr>
      </w:pPr>
    </w:p>
    <w:p w14:paraId="69D8327B">
      <w:pPr>
        <w:pStyle w:val="18"/>
        <w:rPr>
          <w:rFonts w:hint="eastAsia" w:ascii="宋体" w:hAnsi="宋体" w:eastAsia="宋体" w:cs="宋体"/>
          <w:color w:val="auto"/>
          <w:highlight w:val="none"/>
        </w:rPr>
      </w:pPr>
    </w:p>
    <w:p w14:paraId="2E62DF35">
      <w:pPr>
        <w:pStyle w:val="18"/>
        <w:rPr>
          <w:rFonts w:hint="eastAsia" w:ascii="宋体" w:hAnsi="宋体" w:eastAsia="宋体" w:cs="宋体"/>
          <w:color w:val="auto"/>
          <w:highlight w:val="none"/>
        </w:rPr>
      </w:pPr>
    </w:p>
    <w:p w14:paraId="720342CB">
      <w:pPr>
        <w:pStyle w:val="18"/>
        <w:rPr>
          <w:rFonts w:hint="eastAsia" w:ascii="宋体" w:hAnsi="宋体" w:eastAsia="宋体" w:cs="宋体"/>
          <w:color w:val="auto"/>
          <w:highlight w:val="none"/>
        </w:rPr>
      </w:pPr>
    </w:p>
    <w:p w14:paraId="14CBE707">
      <w:pPr>
        <w:pStyle w:val="18"/>
        <w:rPr>
          <w:rFonts w:hint="eastAsia" w:ascii="宋体" w:hAnsi="宋体" w:eastAsia="宋体" w:cs="宋体"/>
          <w:color w:val="auto"/>
          <w:highlight w:val="none"/>
        </w:rPr>
      </w:pPr>
    </w:p>
    <w:p w14:paraId="5920306C">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r>
    </w:p>
    <w:p w14:paraId="7A0A1962">
      <w:pPr>
        <w:widowControl/>
        <w:spacing w:line="360" w:lineRule="auto"/>
        <w:ind w:firstLine="620"/>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一、磋商响应函</w:t>
      </w:r>
    </w:p>
    <w:p w14:paraId="0DD22BBF">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致：</w:t>
      </w:r>
      <w:r>
        <w:rPr>
          <w:rFonts w:hint="eastAsia" w:cs="宋体"/>
          <w:color w:val="auto"/>
          <w:sz w:val="24"/>
          <w:highlight w:val="none"/>
          <w:u w:val="single"/>
          <w:lang w:eastAsia="zh-CN" w:bidi="ar"/>
        </w:rPr>
        <w:t>赣榆区墩尚镇人民政府</w:t>
      </w:r>
      <w:r>
        <w:rPr>
          <w:rFonts w:hint="eastAsia" w:ascii="宋体" w:hAnsi="宋体" w:eastAsia="宋体" w:cs="宋体"/>
          <w:color w:val="auto"/>
          <w:sz w:val="24"/>
          <w:highlight w:val="none"/>
          <w:u w:val="single"/>
          <w:lang w:bidi="ar"/>
        </w:rPr>
        <w:t xml:space="preserve"> </w:t>
      </w:r>
    </w:p>
    <w:p w14:paraId="117801B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(一)根据已收到的采购编号为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（小写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）的总价，按磋商文件的要求承包本次采购范围内的全部工程，并承担相关的责任。 </w:t>
      </w:r>
    </w:p>
    <w:p w14:paraId="6CE6A5CF">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p>
    <w:p w14:paraId="533B6199">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我方保证在磋商响应文件有效期内不撤回磋商响应文件，除磋商文件另有规定外，不修改磋商响应文件。 </w:t>
      </w:r>
    </w:p>
    <w:p w14:paraId="7A7FDA0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(三)我单位保证在收到贵单位发出的书面开工令后立即开工，并在</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天内竣工。 </w:t>
      </w:r>
    </w:p>
    <w:p w14:paraId="5A38BA7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(四)我单位保证本工程质量达到</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p>
    <w:p w14:paraId="22A50EEB">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(五)我单位保证在成交后派出</w:t>
      </w:r>
      <w:r>
        <w:rPr>
          <w:rFonts w:hint="eastAsia" w:ascii="宋体" w:hAnsi="宋体" w:eastAsia="宋体" w:cs="宋体"/>
          <w:color w:val="auto"/>
          <w:sz w:val="24"/>
          <w:highlight w:val="none"/>
          <w:u w:val="single"/>
          <w:lang w:bidi="ar"/>
        </w:rPr>
        <w:t xml:space="preserve">   (姓名    )</w:t>
      </w:r>
      <w:r>
        <w:rPr>
          <w:rFonts w:hint="eastAsia" w:ascii="宋体" w:hAnsi="宋体" w:eastAsia="宋体" w:cs="宋体"/>
          <w:color w:val="auto"/>
          <w:sz w:val="24"/>
          <w:highlight w:val="none"/>
          <w:lang w:bidi="ar"/>
        </w:rPr>
        <w:t xml:space="preserve">项目负责人全面负责本工程的施工。 </w:t>
      </w:r>
    </w:p>
    <w:p w14:paraId="0B7FFC6E">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(六)贵单位所发出的磋商文件、成交通知书和本磋商响应文件将构成约束我们双方的合同。 </w:t>
      </w:r>
    </w:p>
    <w:p w14:paraId="5F9AF5C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(盖章) </w:t>
      </w:r>
    </w:p>
    <w:p w14:paraId="5C8B6263">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单位地址：</w:t>
      </w:r>
      <w:r>
        <w:rPr>
          <w:rFonts w:hint="eastAsia" w:ascii="宋体" w:hAnsi="宋体" w:eastAsia="宋体" w:cs="宋体"/>
          <w:color w:val="auto"/>
          <w:sz w:val="24"/>
          <w:highlight w:val="none"/>
          <w:u w:val="single"/>
          <w:lang w:bidi="ar"/>
        </w:rPr>
        <w:t xml:space="preserve">                                               </w:t>
      </w:r>
    </w:p>
    <w:p w14:paraId="6BDC755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邮政编码：</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274186E7">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法定代表人或委托代理人(签字或盖章)：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7B2F1AE5">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电话：</w:t>
      </w:r>
      <w:r>
        <w:rPr>
          <w:rFonts w:hint="eastAsia" w:ascii="宋体" w:hAnsi="宋体" w:eastAsia="宋体" w:cs="宋体"/>
          <w:color w:val="auto"/>
          <w:sz w:val="24"/>
          <w:highlight w:val="none"/>
          <w:u w:val="single"/>
          <w:lang w:bidi="ar"/>
        </w:rPr>
        <w:t xml:space="preserve">                                            </w:t>
      </w:r>
    </w:p>
    <w:p w14:paraId="537454C8">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传真：</w:t>
      </w:r>
      <w:r>
        <w:rPr>
          <w:rFonts w:hint="eastAsia" w:ascii="宋体" w:hAnsi="宋体" w:eastAsia="宋体" w:cs="宋体"/>
          <w:color w:val="auto"/>
          <w:sz w:val="24"/>
          <w:highlight w:val="none"/>
          <w:u w:val="single"/>
          <w:lang w:bidi="ar"/>
        </w:rPr>
        <w:t xml:space="preserve">                                            </w:t>
      </w:r>
    </w:p>
    <w:p w14:paraId="3AF33036">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开户银行名称：</w:t>
      </w:r>
      <w:r>
        <w:rPr>
          <w:rFonts w:hint="eastAsia" w:ascii="宋体" w:hAnsi="宋体" w:eastAsia="宋体" w:cs="宋体"/>
          <w:color w:val="auto"/>
          <w:sz w:val="24"/>
          <w:highlight w:val="none"/>
          <w:u w:val="single"/>
          <w:lang w:bidi="ar"/>
        </w:rPr>
        <w:t xml:space="preserve">                                     </w:t>
      </w:r>
    </w:p>
    <w:p w14:paraId="689C3D1E">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银行帐号：</w:t>
      </w:r>
      <w:r>
        <w:rPr>
          <w:rFonts w:hint="eastAsia" w:ascii="宋体" w:hAnsi="宋体" w:eastAsia="宋体" w:cs="宋体"/>
          <w:color w:val="auto"/>
          <w:sz w:val="24"/>
          <w:highlight w:val="none"/>
          <w:u w:val="single"/>
          <w:lang w:bidi="ar"/>
        </w:rPr>
        <w:t xml:space="preserve">                                        </w:t>
      </w:r>
    </w:p>
    <w:p w14:paraId="5086FA14">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开户行地址：</w:t>
      </w:r>
      <w:r>
        <w:rPr>
          <w:rFonts w:hint="eastAsia" w:ascii="宋体" w:hAnsi="宋体" w:eastAsia="宋体" w:cs="宋体"/>
          <w:color w:val="auto"/>
          <w:sz w:val="24"/>
          <w:highlight w:val="none"/>
          <w:u w:val="single"/>
          <w:lang w:bidi="ar"/>
        </w:rPr>
        <w:t xml:space="preserve">                                       </w:t>
      </w:r>
    </w:p>
    <w:p w14:paraId="713832C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w:t>
      </w:r>
    </w:p>
    <w:p w14:paraId="0B04185F">
      <w:pPr>
        <w:pStyle w:val="2"/>
        <w:rPr>
          <w:rFonts w:hint="eastAsia" w:ascii="宋体" w:hAnsi="宋体" w:eastAsia="宋体" w:cs="宋体"/>
          <w:color w:val="auto"/>
          <w:sz w:val="24"/>
          <w:highlight w:val="none"/>
          <w:lang w:bidi="ar"/>
        </w:rPr>
      </w:pPr>
    </w:p>
    <w:p w14:paraId="10686322">
      <w:pPr>
        <w:rPr>
          <w:rFonts w:hint="eastAsia" w:ascii="宋体" w:hAnsi="宋体" w:eastAsia="宋体" w:cs="宋体"/>
          <w:color w:val="auto"/>
          <w:sz w:val="24"/>
          <w:highlight w:val="none"/>
          <w:lang w:bidi="ar"/>
        </w:rPr>
      </w:pPr>
    </w:p>
    <w:p w14:paraId="29B413FD">
      <w:pPr>
        <w:pStyle w:val="2"/>
        <w:rPr>
          <w:rFonts w:hint="eastAsia" w:ascii="宋体" w:hAnsi="宋体" w:eastAsia="宋体" w:cs="宋体"/>
          <w:color w:val="auto"/>
          <w:sz w:val="24"/>
          <w:highlight w:val="none"/>
          <w:lang w:bidi="ar"/>
        </w:rPr>
      </w:pPr>
    </w:p>
    <w:p w14:paraId="4EAA707F">
      <w:pPr>
        <w:rPr>
          <w:rFonts w:hint="eastAsia" w:ascii="宋体" w:hAnsi="宋体" w:eastAsia="宋体" w:cs="宋体"/>
          <w:color w:val="auto"/>
          <w:sz w:val="24"/>
          <w:highlight w:val="none"/>
          <w:lang w:bidi="ar"/>
        </w:rPr>
      </w:pPr>
    </w:p>
    <w:p w14:paraId="603C111D">
      <w:pPr>
        <w:pStyle w:val="2"/>
        <w:rPr>
          <w:rFonts w:hint="eastAsia" w:ascii="宋体" w:hAnsi="宋体" w:eastAsia="宋体" w:cs="宋体"/>
          <w:color w:val="auto"/>
          <w:sz w:val="24"/>
          <w:highlight w:val="none"/>
          <w:lang w:bidi="ar"/>
        </w:rPr>
      </w:pPr>
    </w:p>
    <w:p w14:paraId="544D503F">
      <w:pPr>
        <w:rPr>
          <w:rFonts w:hint="eastAsia"/>
        </w:rPr>
      </w:pPr>
    </w:p>
    <w:p w14:paraId="3F4A71DB">
      <w:pPr>
        <w:pStyle w:val="60"/>
        <w:ind w:firstLine="480"/>
        <w:rPr>
          <w:rFonts w:hint="eastAsia" w:ascii="宋体" w:hAnsi="宋体" w:eastAsia="宋体" w:cs="宋体"/>
          <w:color w:val="auto"/>
          <w:szCs w:val="24"/>
          <w:highlight w:val="none"/>
          <w:lang w:bidi="ar"/>
        </w:rPr>
      </w:pPr>
    </w:p>
    <w:p w14:paraId="29224803">
      <w:pPr>
        <w:widowControl/>
        <w:numPr>
          <w:ilvl w:val="0"/>
          <w:numId w:val="3"/>
        </w:numPr>
        <w:spacing w:line="360" w:lineRule="auto"/>
        <w:ind w:firstLine="622"/>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开标一览表（首次磋商响应报价表）</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7085"/>
      </w:tblGrid>
      <w:tr w14:paraId="7728A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46220C1D">
            <w:pPr>
              <w:widowControl/>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 目</w:t>
            </w:r>
          </w:p>
          <w:p w14:paraId="133D4F42">
            <w:pPr>
              <w:jc w:val="center"/>
              <w:rPr>
                <w:rFonts w:hint="eastAsia" w:ascii="宋体" w:hAnsi="宋体" w:eastAsia="宋体" w:cs="宋体"/>
                <w:color w:val="auto"/>
                <w:sz w:val="24"/>
                <w:highlight w:val="none"/>
              </w:rPr>
            </w:pPr>
          </w:p>
        </w:tc>
        <w:tc>
          <w:tcPr>
            <w:tcW w:w="7085" w:type="dxa"/>
            <w:noWrap w:val="0"/>
          </w:tcPr>
          <w:p w14:paraId="5E4DB7E7">
            <w:pPr>
              <w:widowControl/>
              <w:spacing w:line="360" w:lineRule="auto"/>
              <w:ind w:firstLine="480"/>
              <w:jc w:val="left"/>
              <w:rPr>
                <w:rFonts w:hint="eastAsia" w:ascii="宋体" w:hAnsi="宋体" w:eastAsia="宋体" w:cs="宋体"/>
                <w:color w:val="auto"/>
                <w:sz w:val="24"/>
                <w:highlight w:val="none"/>
                <w:lang w:bidi="ar"/>
              </w:rPr>
            </w:pPr>
          </w:p>
          <w:p w14:paraId="0ADD6CE9">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p>
          <w:p w14:paraId="0CC31DA4">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p>
          <w:p w14:paraId="59DDA465">
            <w:pPr>
              <w:jc w:val="both"/>
              <w:rPr>
                <w:rFonts w:hint="eastAsia" w:ascii="宋体" w:hAnsi="宋体" w:eastAsia="宋体" w:cs="宋体"/>
                <w:color w:val="auto"/>
                <w:sz w:val="24"/>
                <w:highlight w:val="none"/>
              </w:rPr>
            </w:pPr>
          </w:p>
        </w:tc>
      </w:tr>
      <w:tr w14:paraId="748C8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2DF319BD">
            <w:pPr>
              <w:widowControl/>
              <w:spacing w:line="360" w:lineRule="auto"/>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响应</w:t>
            </w:r>
          </w:p>
          <w:p w14:paraId="1B7EC442">
            <w:pPr>
              <w:widowControl/>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报价</w:t>
            </w:r>
          </w:p>
        </w:tc>
        <w:tc>
          <w:tcPr>
            <w:tcW w:w="7085" w:type="dxa"/>
            <w:noWrap w:val="0"/>
          </w:tcPr>
          <w:p w14:paraId="1437F00C">
            <w:pPr>
              <w:widowControl/>
              <w:spacing w:line="360" w:lineRule="auto"/>
              <w:ind w:firstLine="480"/>
              <w:jc w:val="left"/>
              <w:rPr>
                <w:rFonts w:hint="eastAsia" w:ascii="宋体" w:hAnsi="宋体" w:eastAsia="宋体" w:cs="宋体"/>
                <w:color w:val="auto"/>
                <w:sz w:val="24"/>
                <w:highlight w:val="none"/>
                <w:lang w:bidi="ar"/>
              </w:rPr>
            </w:pPr>
          </w:p>
          <w:p w14:paraId="6370EDAD">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p>
          <w:p w14:paraId="02CD3C78">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p>
          <w:p w14:paraId="5117F5B1">
            <w:pPr>
              <w:jc w:val="both"/>
              <w:rPr>
                <w:rFonts w:hint="eastAsia" w:ascii="宋体" w:hAnsi="宋体" w:eastAsia="宋体" w:cs="宋体"/>
                <w:color w:val="auto"/>
                <w:sz w:val="24"/>
                <w:highlight w:val="none"/>
              </w:rPr>
            </w:pPr>
          </w:p>
        </w:tc>
      </w:tr>
      <w:tr w14:paraId="316FD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103" w:type="dxa"/>
            <w:noWrap w:val="0"/>
            <w:vAlign w:val="center"/>
          </w:tcPr>
          <w:p w14:paraId="47E356EE">
            <w:pPr>
              <w:widowControl/>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总工期</w:t>
            </w:r>
          </w:p>
        </w:tc>
        <w:tc>
          <w:tcPr>
            <w:tcW w:w="7085" w:type="dxa"/>
            <w:noWrap w:val="0"/>
          </w:tcPr>
          <w:p w14:paraId="5759CCE1">
            <w:pPr>
              <w:jc w:val="both"/>
              <w:rPr>
                <w:rFonts w:hint="eastAsia" w:ascii="宋体" w:hAnsi="宋体" w:eastAsia="宋体" w:cs="宋体"/>
                <w:color w:val="auto"/>
                <w:sz w:val="24"/>
                <w:highlight w:val="none"/>
                <w:lang w:bidi="ar"/>
              </w:rPr>
            </w:pPr>
          </w:p>
          <w:p w14:paraId="24AAE787">
            <w:pPr>
              <w:spacing w:line="360" w:lineRule="auto"/>
              <w:ind w:firstLine="240"/>
              <w:jc w:val="both"/>
              <w:rPr>
                <w:rFonts w:hint="eastAsia" w:ascii="宋体" w:hAnsi="宋体" w:eastAsia="宋体" w:cs="宋体"/>
                <w:color w:val="auto"/>
                <w:sz w:val="24"/>
                <w:highlight w:val="none"/>
              </w:rPr>
            </w:pPr>
          </w:p>
        </w:tc>
      </w:tr>
      <w:tr w14:paraId="208FA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03" w:type="dxa"/>
            <w:noWrap w:val="0"/>
            <w:vAlign w:val="center"/>
          </w:tcPr>
          <w:p w14:paraId="2DAF7DD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质量标准：</w:t>
            </w:r>
          </w:p>
        </w:tc>
        <w:tc>
          <w:tcPr>
            <w:tcW w:w="7085" w:type="dxa"/>
            <w:noWrap w:val="0"/>
          </w:tcPr>
          <w:p w14:paraId="27A6461D">
            <w:pPr>
              <w:jc w:val="both"/>
              <w:rPr>
                <w:rFonts w:hint="eastAsia" w:ascii="宋体" w:hAnsi="宋体" w:eastAsia="宋体" w:cs="宋体"/>
                <w:color w:val="auto"/>
                <w:sz w:val="24"/>
                <w:highlight w:val="none"/>
                <w:lang w:bidi="ar"/>
              </w:rPr>
            </w:pPr>
          </w:p>
        </w:tc>
      </w:tr>
      <w:tr w14:paraId="182B6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103" w:type="dxa"/>
            <w:noWrap w:val="0"/>
            <w:vAlign w:val="center"/>
          </w:tcPr>
          <w:p w14:paraId="001F052C">
            <w:pPr>
              <w:widowControl/>
              <w:spacing w:line="360" w:lineRule="auto"/>
              <w:ind w:firstLine="480"/>
              <w:jc w:val="center"/>
              <w:rPr>
                <w:rFonts w:hint="eastAsia" w:ascii="宋体" w:hAnsi="宋体" w:eastAsia="宋体" w:cs="宋体"/>
                <w:color w:val="auto"/>
                <w:sz w:val="24"/>
                <w:highlight w:val="none"/>
              </w:rPr>
            </w:pPr>
          </w:p>
          <w:p w14:paraId="5A02D93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项目负责人：</w:t>
            </w:r>
          </w:p>
        </w:tc>
        <w:tc>
          <w:tcPr>
            <w:tcW w:w="7085" w:type="dxa"/>
            <w:noWrap w:val="0"/>
          </w:tcPr>
          <w:p w14:paraId="774D5724">
            <w:pPr>
              <w:jc w:val="both"/>
              <w:rPr>
                <w:rFonts w:hint="eastAsia" w:ascii="宋体" w:hAnsi="宋体" w:eastAsia="宋体" w:cs="宋体"/>
                <w:color w:val="auto"/>
                <w:sz w:val="24"/>
                <w:highlight w:val="none"/>
                <w:lang w:bidi="ar"/>
              </w:rPr>
            </w:pPr>
          </w:p>
        </w:tc>
      </w:tr>
    </w:tbl>
    <w:p w14:paraId="074B2ABC">
      <w:pPr>
        <w:pStyle w:val="60"/>
        <w:ind w:firstLine="0"/>
        <w:rPr>
          <w:rFonts w:hint="eastAsia" w:ascii="宋体" w:hAnsi="宋体" w:eastAsia="宋体" w:cs="宋体"/>
          <w:color w:val="auto"/>
          <w:highlight w:val="none"/>
        </w:rPr>
      </w:pPr>
    </w:p>
    <w:p w14:paraId="0F36CDD8">
      <w:pPr>
        <w:widowControl/>
        <w:spacing w:line="360" w:lineRule="auto"/>
        <w:jc w:val="left"/>
        <w:rPr>
          <w:rFonts w:hint="eastAsia" w:ascii="宋体" w:hAnsi="宋体" w:eastAsia="宋体" w:cs="宋体"/>
          <w:color w:val="auto"/>
          <w:sz w:val="24"/>
          <w:highlight w:val="none"/>
          <w:lang w:bidi="ar"/>
        </w:rPr>
      </w:pPr>
    </w:p>
    <w:p w14:paraId="64D7F981">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磋商单位（盖章）：</w:t>
      </w:r>
      <w:r>
        <w:rPr>
          <w:rFonts w:hint="eastAsia" w:ascii="宋体" w:hAnsi="宋体" w:eastAsia="宋体" w:cs="宋体"/>
          <w:color w:val="auto"/>
          <w:sz w:val="24"/>
          <w:highlight w:val="none"/>
          <w:u w:val="single"/>
          <w:lang w:bidi="ar"/>
        </w:rPr>
        <w:t xml:space="preserve">                 </w:t>
      </w:r>
    </w:p>
    <w:p w14:paraId="3C2F9D4D">
      <w:pPr>
        <w:widowControl/>
        <w:spacing w:line="360" w:lineRule="auto"/>
        <w:jc w:val="left"/>
        <w:rPr>
          <w:rFonts w:hint="eastAsia" w:ascii="宋体" w:hAnsi="宋体" w:eastAsia="宋体" w:cs="宋体"/>
          <w:color w:val="auto"/>
          <w:sz w:val="24"/>
          <w:highlight w:val="none"/>
          <w:lang w:bidi="ar"/>
        </w:rPr>
      </w:pPr>
    </w:p>
    <w:p w14:paraId="5D4EC5EB">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法定代表人(授权代表)签名：</w:t>
      </w:r>
      <w:r>
        <w:rPr>
          <w:rFonts w:hint="eastAsia" w:ascii="宋体" w:hAnsi="宋体" w:eastAsia="宋体" w:cs="宋体"/>
          <w:color w:val="auto"/>
          <w:sz w:val="24"/>
          <w:highlight w:val="none"/>
          <w:u w:val="single"/>
          <w:lang w:bidi="ar"/>
        </w:rPr>
        <w:t xml:space="preserve">                 </w:t>
      </w:r>
    </w:p>
    <w:p w14:paraId="3E6FAC04">
      <w:pPr>
        <w:widowControl/>
        <w:spacing w:line="360" w:lineRule="auto"/>
        <w:ind w:firstLine="480"/>
        <w:jc w:val="left"/>
        <w:rPr>
          <w:rFonts w:hint="eastAsia" w:ascii="宋体" w:hAnsi="宋体" w:eastAsia="宋体" w:cs="宋体"/>
          <w:color w:val="auto"/>
          <w:sz w:val="24"/>
          <w:highlight w:val="none"/>
          <w:lang w:bidi="ar"/>
        </w:rPr>
      </w:pPr>
    </w:p>
    <w:p w14:paraId="5B7105E8">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注:①磋商报价应包括磋商文件所确定的采购范围的全部内容，但该</w:t>
      </w:r>
      <w:r>
        <w:rPr>
          <w:rFonts w:hint="eastAsia" w:ascii="宋体" w:hAnsi="宋体" w:eastAsia="宋体" w:cs="宋体"/>
          <w:b/>
          <w:bCs/>
          <w:color w:val="auto"/>
          <w:sz w:val="24"/>
          <w:highlight w:val="none"/>
          <w:lang w:bidi="ar"/>
        </w:rPr>
        <w:t>表报价非本次磋商的最后报价</w:t>
      </w:r>
      <w:r>
        <w:rPr>
          <w:rFonts w:hint="eastAsia" w:ascii="宋体" w:hAnsi="宋体" w:eastAsia="宋体" w:cs="宋体"/>
          <w:color w:val="auto"/>
          <w:sz w:val="24"/>
          <w:highlight w:val="none"/>
          <w:lang w:bidi="ar"/>
        </w:rPr>
        <w:t xml:space="preserve">。 </w:t>
      </w:r>
    </w:p>
    <w:p w14:paraId="34B7C4C7">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②此表格式不得自行改动。</w:t>
      </w:r>
    </w:p>
    <w:p w14:paraId="40355A82">
      <w:pPr>
        <w:pStyle w:val="60"/>
        <w:ind w:firstLine="480"/>
        <w:rPr>
          <w:rFonts w:hint="eastAsia" w:ascii="宋体" w:hAnsi="宋体" w:eastAsia="宋体" w:cs="宋体"/>
          <w:color w:val="auto"/>
          <w:szCs w:val="24"/>
          <w:highlight w:val="none"/>
          <w:lang w:bidi="ar"/>
        </w:rPr>
      </w:pPr>
    </w:p>
    <w:p w14:paraId="1F834E06">
      <w:pPr>
        <w:rPr>
          <w:rFonts w:hint="eastAsia" w:ascii="宋体" w:hAnsi="宋体" w:eastAsia="宋体" w:cs="宋体"/>
          <w:color w:val="auto"/>
          <w:highlight w:val="none"/>
          <w:lang w:bidi="ar"/>
        </w:rPr>
      </w:pPr>
    </w:p>
    <w:p w14:paraId="066A79D6">
      <w:pPr>
        <w:pStyle w:val="21"/>
        <w:shd w:val="clear" w:color="auto" w:fill="FFFFFF"/>
        <w:spacing w:line="300" w:lineRule="auto"/>
        <w:jc w:val="center"/>
        <w:rPr>
          <w:rFonts w:hint="eastAsia" w:ascii="宋体" w:hAnsi="宋体" w:eastAsia="宋体" w:cs="宋体"/>
          <w:b/>
          <w:bCs/>
          <w:color w:val="auto"/>
          <w:sz w:val="31"/>
          <w:szCs w:val="31"/>
          <w:highlight w:val="none"/>
          <w:lang w:bidi="ar"/>
        </w:rPr>
      </w:pPr>
    </w:p>
    <w:p w14:paraId="1936F9F9">
      <w:pPr>
        <w:pStyle w:val="21"/>
        <w:shd w:val="clear" w:color="auto" w:fill="FFFFFF"/>
        <w:spacing w:line="300" w:lineRule="auto"/>
        <w:jc w:val="center"/>
        <w:rPr>
          <w:rFonts w:hint="eastAsia" w:ascii="宋体" w:hAnsi="宋体" w:eastAsia="宋体" w:cs="宋体"/>
          <w:b/>
          <w:bCs/>
          <w:color w:val="auto"/>
          <w:sz w:val="31"/>
          <w:szCs w:val="31"/>
          <w:highlight w:val="none"/>
          <w:lang w:bidi="ar"/>
        </w:rPr>
      </w:pPr>
    </w:p>
    <w:p w14:paraId="7E811E43">
      <w:pPr>
        <w:pStyle w:val="21"/>
        <w:shd w:val="clear" w:color="auto" w:fill="FFFFFF"/>
        <w:spacing w:line="300" w:lineRule="auto"/>
        <w:jc w:val="center"/>
        <w:rPr>
          <w:rFonts w:hint="eastAsia" w:ascii="宋体" w:hAnsi="宋体" w:eastAsia="宋体" w:cs="宋体"/>
          <w:b/>
          <w:bCs/>
          <w:color w:val="auto"/>
          <w:sz w:val="31"/>
          <w:szCs w:val="31"/>
          <w:highlight w:val="none"/>
          <w:lang w:bidi="ar"/>
        </w:rPr>
      </w:pPr>
    </w:p>
    <w:p w14:paraId="1BE7E5C4">
      <w:pPr>
        <w:pStyle w:val="21"/>
        <w:shd w:val="clear" w:color="auto" w:fill="FFFFFF"/>
        <w:spacing w:line="300" w:lineRule="auto"/>
        <w:jc w:val="center"/>
        <w:rPr>
          <w:rFonts w:hint="eastAsia" w:ascii="宋体" w:hAnsi="宋体" w:eastAsia="宋体" w:cs="宋体"/>
          <w:b/>
          <w:bCs/>
          <w:color w:val="auto"/>
          <w:sz w:val="31"/>
          <w:szCs w:val="31"/>
          <w:highlight w:val="none"/>
          <w:lang w:bidi="ar"/>
        </w:rPr>
      </w:pPr>
    </w:p>
    <w:p w14:paraId="7BA5F5EA">
      <w:pPr>
        <w:pStyle w:val="21"/>
        <w:numPr>
          <w:ilvl w:val="0"/>
          <w:numId w:val="4"/>
        </w:numPr>
        <w:shd w:val="clear" w:color="auto" w:fill="FFFFFF"/>
        <w:spacing w:line="30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工程量清单与报价表</w:t>
      </w:r>
    </w:p>
    <w:p w14:paraId="47806281">
      <w:pPr>
        <w:widowControl/>
        <w:jc w:val="left"/>
        <w:rPr>
          <w:rFonts w:hint="eastAsia" w:ascii="宋体" w:hAnsi="宋体" w:eastAsia="宋体" w:cs="宋体"/>
          <w:color w:val="auto"/>
          <w:sz w:val="24"/>
          <w:szCs w:val="22"/>
          <w:highlight w:val="none"/>
        </w:rPr>
      </w:pPr>
      <w:r>
        <w:rPr>
          <w:rFonts w:hint="eastAsia" w:ascii="宋体" w:hAnsi="宋体" w:eastAsia="宋体" w:cs="宋体"/>
          <w:color w:val="auto"/>
          <w:highlight w:val="none"/>
        </w:rPr>
        <w:br w:type="page" w:clear="all"/>
      </w:r>
    </w:p>
    <w:p w14:paraId="7C03FFA4">
      <w:pPr>
        <w:widowControl/>
        <w:spacing w:line="360" w:lineRule="auto"/>
        <w:ind w:left="420"/>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四、政府采购政策</w:t>
      </w:r>
    </w:p>
    <w:p w14:paraId="3362AFC0">
      <w:pPr>
        <w:widowControl/>
        <w:spacing w:line="360" w:lineRule="auto"/>
        <w:ind w:firstLine="720"/>
        <w:jc w:val="center"/>
        <w:rPr>
          <w:rFonts w:hint="eastAsia" w:ascii="宋体" w:hAnsi="宋体" w:eastAsia="宋体" w:cs="宋体"/>
          <w:color w:val="auto"/>
          <w:highlight w:val="none"/>
        </w:rPr>
      </w:pPr>
      <w:r>
        <w:rPr>
          <w:rFonts w:hint="eastAsia" w:ascii="宋体" w:hAnsi="宋体" w:eastAsia="宋体" w:cs="宋体"/>
          <w:color w:val="auto"/>
          <w:sz w:val="36"/>
          <w:szCs w:val="36"/>
          <w:highlight w:val="none"/>
          <w:lang w:bidi="ar"/>
        </w:rPr>
        <w:t>中小企业声明函（格式）</w:t>
      </w:r>
    </w:p>
    <w:p w14:paraId="66C0A230">
      <w:pPr>
        <w:widowControl/>
        <w:spacing w:line="360" w:lineRule="auto"/>
        <w:ind w:firstLine="480"/>
        <w:jc w:val="left"/>
        <w:rPr>
          <w:rFonts w:hint="eastAsia" w:ascii="宋体" w:hAnsi="宋体" w:eastAsia="宋体" w:cs="宋体"/>
          <w:color w:val="auto"/>
          <w:sz w:val="24"/>
          <w:highlight w:val="none"/>
          <w:lang w:bidi="ar"/>
        </w:rPr>
      </w:pPr>
    </w:p>
    <w:p w14:paraId="35CD6939">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本公司郑重声明，根据《政府采购促进中小企业发展管理办法》（财库﹝2020﹞46 号）的规定，本公司参加</w:t>
      </w:r>
      <w:r>
        <w:rPr>
          <w:rFonts w:hint="eastAsia" w:ascii="宋体" w:hAnsi="宋体" w:eastAsia="宋体" w:cs="宋体"/>
          <w:color w:val="auto"/>
          <w:sz w:val="24"/>
          <w:highlight w:val="none"/>
          <w:u w:val="single"/>
          <w:lang w:bidi="ar"/>
        </w:rPr>
        <w:t xml:space="preserve">           （单位名称）        </w:t>
      </w:r>
      <w:r>
        <w:rPr>
          <w:rFonts w:hint="eastAsia" w:ascii="宋体" w:hAnsi="宋体" w:eastAsia="宋体" w:cs="宋体"/>
          <w:color w:val="auto"/>
          <w:sz w:val="24"/>
          <w:highlight w:val="none"/>
          <w:lang w:bidi="ar"/>
        </w:rPr>
        <w:t xml:space="preserve">的 </w:t>
      </w:r>
      <w:r>
        <w:rPr>
          <w:rFonts w:hint="eastAsia" w:ascii="宋体" w:hAnsi="宋体" w:eastAsia="宋体" w:cs="宋体"/>
          <w:color w:val="auto"/>
          <w:sz w:val="24"/>
          <w:highlight w:val="none"/>
          <w:u w:val="single"/>
          <w:lang w:bidi="ar"/>
        </w:rPr>
        <w:t xml:space="preserve">  （项目名称）  </w:t>
      </w:r>
      <w:r>
        <w:rPr>
          <w:rFonts w:hint="eastAsia" w:ascii="宋体" w:hAnsi="宋体" w:eastAsia="宋体" w:cs="宋体"/>
          <w:color w:val="auto"/>
          <w:sz w:val="24"/>
          <w:highlight w:val="none"/>
          <w:lang w:bidi="ar"/>
        </w:rPr>
        <w:t xml:space="preserve"> 采购活动，工程的施工单位全部为符合政策要求的中小企业。 </w:t>
      </w:r>
    </w:p>
    <w:p w14:paraId="5BD2E8A0">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（标的名称）</w:t>
      </w:r>
      <w:r>
        <w:rPr>
          <w:rFonts w:hint="eastAsia" w:ascii="宋体" w:hAnsi="宋体" w:eastAsia="宋体" w:cs="宋体"/>
          <w:color w:val="auto"/>
          <w:sz w:val="24"/>
          <w:highlight w:val="none"/>
          <w:lang w:bidi="ar"/>
        </w:rPr>
        <w:t xml:space="preserve"> ，属于</w:t>
      </w:r>
      <w:r>
        <w:rPr>
          <w:rFonts w:hint="eastAsia" w:ascii="宋体" w:hAnsi="宋体" w:eastAsia="宋体" w:cs="宋体"/>
          <w:color w:val="auto"/>
          <w:sz w:val="24"/>
          <w:highlight w:val="none"/>
          <w:u w:val="single"/>
          <w:lang w:bidi="ar"/>
        </w:rPr>
        <w:t>（采购文件中明确的所属行业）</w:t>
      </w:r>
      <w:r>
        <w:rPr>
          <w:rFonts w:hint="eastAsia" w:ascii="宋体" w:hAnsi="宋体" w:eastAsia="宋体" w:cs="宋体"/>
          <w:color w:val="auto"/>
          <w:sz w:val="24"/>
          <w:highlight w:val="none"/>
          <w:lang w:bidi="ar"/>
        </w:rPr>
        <w:t xml:space="preserve"> 行业；承建企业为</w:t>
      </w:r>
      <w:r>
        <w:rPr>
          <w:rFonts w:hint="eastAsia" w:ascii="宋体" w:hAnsi="宋体" w:eastAsia="宋体" w:cs="宋体"/>
          <w:color w:val="auto"/>
          <w:sz w:val="24"/>
          <w:highlight w:val="none"/>
          <w:u w:val="single"/>
          <w:lang w:bidi="ar"/>
        </w:rPr>
        <w:t>（企业名称）</w:t>
      </w:r>
      <w:r>
        <w:rPr>
          <w:rFonts w:hint="eastAsia" w:ascii="宋体" w:hAnsi="宋体" w:eastAsia="宋体" w:cs="宋体"/>
          <w:color w:val="auto"/>
          <w:sz w:val="24"/>
          <w:highlight w:val="none"/>
          <w:lang w:bidi="ar"/>
        </w:rPr>
        <w:t>，从业人员</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人，营业收入为</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万元，资产总额为</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万元，属于</w:t>
      </w:r>
      <w:r>
        <w:rPr>
          <w:rFonts w:hint="eastAsia" w:ascii="宋体" w:hAnsi="宋体" w:eastAsia="宋体" w:cs="宋体"/>
          <w:color w:val="auto"/>
          <w:sz w:val="24"/>
          <w:highlight w:val="none"/>
          <w:u w:val="single"/>
          <w:lang w:bidi="ar"/>
        </w:rPr>
        <w:t>（中型企业、小型企业、微型企业）</w:t>
      </w:r>
      <w:r>
        <w:rPr>
          <w:rFonts w:hint="eastAsia" w:ascii="宋体" w:hAnsi="宋体" w:eastAsia="宋体" w:cs="宋体"/>
          <w:color w:val="auto"/>
          <w:sz w:val="24"/>
          <w:highlight w:val="none"/>
          <w:lang w:bidi="ar"/>
        </w:rPr>
        <w:t xml:space="preserve">； </w:t>
      </w:r>
    </w:p>
    <w:p w14:paraId="31E1F134">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p>
    <w:p w14:paraId="720B372E">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p>
    <w:p w14:paraId="24B439C8">
      <w:pPr>
        <w:widowControl/>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企业名称（盖章）：</w:t>
      </w:r>
      <w:r>
        <w:rPr>
          <w:rFonts w:hint="eastAsia" w:ascii="宋体" w:hAnsi="宋体" w:eastAsia="宋体" w:cs="宋体"/>
          <w:color w:val="auto"/>
          <w:sz w:val="24"/>
          <w:highlight w:val="none"/>
          <w:u w:val="single"/>
          <w:lang w:bidi="ar"/>
        </w:rPr>
        <w:t xml:space="preserve">         </w:t>
      </w:r>
    </w:p>
    <w:p w14:paraId="49C56D02">
      <w:pPr>
        <w:widowControl/>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日 期：</w:t>
      </w:r>
      <w:r>
        <w:rPr>
          <w:rFonts w:hint="eastAsia" w:ascii="宋体" w:hAnsi="宋体" w:eastAsia="宋体" w:cs="宋体"/>
          <w:color w:val="auto"/>
          <w:sz w:val="24"/>
          <w:highlight w:val="none"/>
          <w:u w:val="single"/>
          <w:lang w:bidi="ar"/>
        </w:rPr>
        <w:t xml:space="preserve">                     </w:t>
      </w:r>
    </w:p>
    <w:p w14:paraId="200DE488">
      <w:pPr>
        <w:widowControl/>
        <w:spacing w:line="360" w:lineRule="auto"/>
        <w:ind w:firstLine="480"/>
        <w:jc w:val="left"/>
        <w:rPr>
          <w:rFonts w:hint="eastAsia" w:ascii="宋体" w:hAnsi="宋体" w:eastAsia="宋体" w:cs="宋体"/>
          <w:b/>
          <w:bCs/>
          <w:color w:val="auto"/>
          <w:sz w:val="24"/>
          <w:highlight w:val="none"/>
          <w:lang w:bidi="ar"/>
        </w:rPr>
      </w:pPr>
    </w:p>
    <w:p w14:paraId="4726D4D6">
      <w:pPr>
        <w:widowControl/>
        <w:spacing w:line="360" w:lineRule="auto"/>
        <w:ind w:firstLine="480"/>
        <w:jc w:val="left"/>
        <w:rPr>
          <w:rFonts w:hint="eastAsia" w:ascii="宋体" w:hAnsi="宋体" w:eastAsia="宋体" w:cs="宋体"/>
          <w:b/>
          <w:bCs/>
          <w:color w:val="auto"/>
          <w:sz w:val="24"/>
          <w:highlight w:val="none"/>
          <w:lang w:bidi="ar"/>
        </w:rPr>
      </w:pPr>
    </w:p>
    <w:p w14:paraId="1D4CEEE0">
      <w:pPr>
        <w:widowControl/>
        <w:spacing w:line="360" w:lineRule="auto"/>
        <w:ind w:firstLine="480"/>
        <w:jc w:val="left"/>
        <w:rPr>
          <w:rFonts w:hint="eastAsia" w:ascii="宋体" w:hAnsi="宋体" w:eastAsia="宋体" w:cs="宋体"/>
          <w:b/>
          <w:bCs/>
          <w:color w:val="auto"/>
          <w:sz w:val="24"/>
          <w:highlight w:val="none"/>
          <w:lang w:bidi="ar"/>
        </w:rPr>
      </w:pPr>
    </w:p>
    <w:p w14:paraId="30D26727">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p>
    <w:p w14:paraId="46FFE4AD">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1、从业人员、营业收入、资产总额填报上一年度数据，无上一年度数据的新成立企业可不填报。 </w:t>
      </w:r>
    </w:p>
    <w:p w14:paraId="05B19809">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2、请供应商如实填写，所填内容将作为评审的依据。如填写不完整，将不享受扶持政策。 </w:t>
      </w:r>
    </w:p>
    <w:p w14:paraId="2B117D3D">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3、成交供应商的《中小企业声明函》随成交结果公开。</w:t>
      </w:r>
    </w:p>
    <w:p w14:paraId="208C143E">
      <w:pPr>
        <w:pStyle w:val="60"/>
        <w:ind w:firstLine="480"/>
        <w:rPr>
          <w:rFonts w:hint="eastAsia" w:ascii="宋体" w:hAnsi="宋体" w:eastAsia="宋体" w:cs="宋体"/>
          <w:color w:val="auto"/>
          <w:szCs w:val="24"/>
          <w:highlight w:val="none"/>
          <w:lang w:bidi="ar"/>
        </w:rPr>
      </w:pPr>
    </w:p>
    <w:p w14:paraId="41C80516">
      <w:pPr>
        <w:rPr>
          <w:rFonts w:hint="eastAsia" w:ascii="宋体" w:hAnsi="宋体" w:eastAsia="宋体" w:cs="宋体"/>
          <w:color w:val="auto"/>
          <w:sz w:val="24"/>
          <w:highlight w:val="none"/>
          <w:lang w:bidi="ar"/>
        </w:rPr>
      </w:pPr>
    </w:p>
    <w:p w14:paraId="210CCAF3">
      <w:pPr>
        <w:pStyle w:val="60"/>
        <w:ind w:firstLine="480"/>
        <w:rPr>
          <w:rFonts w:hint="eastAsia" w:ascii="宋体" w:hAnsi="宋体" w:eastAsia="宋体" w:cs="宋体"/>
          <w:color w:val="auto"/>
          <w:szCs w:val="24"/>
          <w:highlight w:val="none"/>
          <w:lang w:bidi="ar"/>
        </w:rPr>
      </w:pPr>
    </w:p>
    <w:p w14:paraId="2E999679">
      <w:pPr>
        <w:rPr>
          <w:rFonts w:hint="eastAsia" w:ascii="宋体" w:hAnsi="宋体" w:eastAsia="宋体" w:cs="宋体"/>
          <w:color w:val="auto"/>
          <w:sz w:val="24"/>
          <w:highlight w:val="none"/>
          <w:lang w:bidi="ar"/>
        </w:rPr>
      </w:pPr>
    </w:p>
    <w:p w14:paraId="7185F94E">
      <w:pPr>
        <w:pStyle w:val="16"/>
        <w:rPr>
          <w:rFonts w:hint="eastAsia" w:ascii="宋体" w:hAnsi="宋体" w:eastAsia="宋体" w:cs="宋体"/>
          <w:color w:val="auto"/>
          <w:highlight w:val="none"/>
        </w:rPr>
      </w:pPr>
    </w:p>
    <w:p w14:paraId="1558FA00">
      <w:pPr>
        <w:pStyle w:val="60"/>
        <w:ind w:firstLine="480"/>
        <w:rPr>
          <w:rFonts w:hint="eastAsia" w:ascii="宋体" w:hAnsi="宋体" w:eastAsia="宋体" w:cs="宋体"/>
          <w:color w:val="auto"/>
          <w:szCs w:val="24"/>
          <w:highlight w:val="none"/>
          <w:lang w:bidi="ar"/>
        </w:rPr>
      </w:pPr>
    </w:p>
    <w:p w14:paraId="4F68EA90">
      <w:pPr>
        <w:rPr>
          <w:rFonts w:hint="eastAsia" w:ascii="宋体" w:hAnsi="宋体" w:eastAsia="宋体" w:cs="宋体"/>
          <w:color w:val="auto"/>
          <w:sz w:val="24"/>
          <w:highlight w:val="none"/>
          <w:lang w:bidi="ar"/>
        </w:rPr>
      </w:pPr>
    </w:p>
    <w:p w14:paraId="5A2E60E8">
      <w:pPr>
        <w:pStyle w:val="16"/>
        <w:rPr>
          <w:rFonts w:hint="eastAsia" w:ascii="宋体" w:hAnsi="宋体" w:eastAsia="宋体" w:cs="宋体"/>
          <w:color w:val="auto"/>
          <w:sz w:val="24"/>
          <w:highlight w:val="none"/>
          <w:lang w:bidi="ar"/>
        </w:rPr>
      </w:pPr>
    </w:p>
    <w:p w14:paraId="29CCCAFF">
      <w:pPr>
        <w:rPr>
          <w:rFonts w:hint="eastAsia" w:ascii="宋体" w:hAnsi="宋体" w:eastAsia="宋体" w:cs="宋体"/>
          <w:color w:val="auto"/>
          <w:highlight w:val="none"/>
        </w:rPr>
      </w:pPr>
    </w:p>
    <w:p w14:paraId="461D0DDE">
      <w:pPr>
        <w:pStyle w:val="60"/>
        <w:ind w:firstLine="480"/>
        <w:rPr>
          <w:rFonts w:hint="eastAsia" w:ascii="宋体" w:hAnsi="宋体" w:eastAsia="宋体" w:cs="宋体"/>
          <w:color w:val="auto"/>
          <w:szCs w:val="24"/>
          <w:highlight w:val="none"/>
          <w:lang w:bidi="ar"/>
        </w:rPr>
      </w:pPr>
    </w:p>
    <w:p w14:paraId="6EE4CF71">
      <w:pPr>
        <w:rPr>
          <w:rFonts w:hint="eastAsia" w:ascii="宋体" w:hAnsi="宋体" w:eastAsia="宋体" w:cs="宋体"/>
          <w:color w:val="auto"/>
          <w:sz w:val="24"/>
          <w:highlight w:val="none"/>
          <w:lang w:bidi="ar"/>
        </w:rPr>
      </w:pPr>
    </w:p>
    <w:p w14:paraId="52E8BE06">
      <w:pPr>
        <w:widowControl/>
        <w:spacing w:line="360" w:lineRule="auto"/>
        <w:ind w:firstLine="620"/>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残疾人福利性单位声明函（格式）</w:t>
      </w:r>
    </w:p>
    <w:p w14:paraId="7C0CFCF2">
      <w:pPr>
        <w:widowControl/>
        <w:spacing w:line="360" w:lineRule="auto"/>
        <w:ind w:firstLine="480"/>
        <w:jc w:val="left"/>
        <w:rPr>
          <w:rFonts w:hint="eastAsia" w:ascii="宋体" w:hAnsi="宋体" w:eastAsia="宋体" w:cs="宋体"/>
          <w:color w:val="auto"/>
          <w:sz w:val="24"/>
          <w:highlight w:val="none"/>
          <w:lang w:bidi="ar"/>
        </w:rPr>
      </w:pPr>
    </w:p>
    <w:p w14:paraId="140A7D6E">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本单位郑重声明，根据《财政部 民政部 中国残疾人联合会关于促进残疾人就业政府采购政策的通知》（财库〔2017〕141 号）的规定，本单位为符合条件的残疾人福利性单位，且本单位参加</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单位的</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 xml:space="preserve">项目由本单位承建。 </w:t>
      </w:r>
    </w:p>
    <w:p w14:paraId="60F7E81F">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本单位对上述声明的真实性负责。如有虚假，将依法承担相应责任。 </w:t>
      </w:r>
    </w:p>
    <w:p w14:paraId="78A5BFDE">
      <w:pPr>
        <w:widowControl/>
        <w:spacing w:line="360" w:lineRule="auto"/>
        <w:ind w:firstLine="480"/>
        <w:jc w:val="left"/>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企业名称（盖章）：</w:t>
      </w:r>
      <w:r>
        <w:rPr>
          <w:rFonts w:hint="eastAsia" w:ascii="宋体" w:hAnsi="宋体" w:eastAsia="宋体" w:cs="宋体"/>
          <w:color w:val="auto"/>
          <w:sz w:val="24"/>
          <w:highlight w:val="none"/>
          <w:u w:val="single"/>
          <w:lang w:bidi="ar"/>
        </w:rPr>
        <w:t xml:space="preserve">                  </w:t>
      </w:r>
    </w:p>
    <w:p w14:paraId="6809A593">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46F63E98">
      <w:pPr>
        <w:widowControl/>
        <w:spacing w:line="360" w:lineRule="auto"/>
        <w:ind w:firstLine="480"/>
        <w:jc w:val="left"/>
        <w:rPr>
          <w:rFonts w:hint="eastAsia" w:ascii="宋体" w:hAnsi="宋体" w:eastAsia="宋体" w:cs="宋体"/>
          <w:b/>
          <w:bCs/>
          <w:color w:val="auto"/>
          <w:sz w:val="24"/>
          <w:highlight w:val="none"/>
          <w:lang w:bidi="ar"/>
        </w:rPr>
      </w:pPr>
    </w:p>
    <w:p w14:paraId="2DFF53DC">
      <w:pPr>
        <w:widowControl/>
        <w:spacing w:line="360" w:lineRule="auto"/>
        <w:ind w:firstLine="480"/>
        <w:jc w:val="left"/>
        <w:rPr>
          <w:rFonts w:hint="eastAsia" w:ascii="宋体" w:hAnsi="宋体" w:eastAsia="宋体" w:cs="宋体"/>
          <w:b/>
          <w:bCs/>
          <w:color w:val="auto"/>
          <w:sz w:val="24"/>
          <w:highlight w:val="none"/>
          <w:lang w:bidi="ar"/>
        </w:rPr>
      </w:pPr>
    </w:p>
    <w:p w14:paraId="32DEFBD6">
      <w:pPr>
        <w:widowControl/>
        <w:spacing w:line="360" w:lineRule="auto"/>
        <w:ind w:firstLine="480"/>
        <w:jc w:val="left"/>
        <w:rPr>
          <w:rFonts w:hint="eastAsia" w:ascii="宋体" w:hAnsi="宋体" w:eastAsia="宋体" w:cs="宋体"/>
          <w:b/>
          <w:bCs/>
          <w:color w:val="auto"/>
          <w:sz w:val="24"/>
          <w:highlight w:val="none"/>
          <w:lang w:bidi="ar"/>
        </w:rPr>
      </w:pPr>
    </w:p>
    <w:p w14:paraId="6290ADDC">
      <w:pPr>
        <w:widowControl/>
        <w:spacing w:line="360" w:lineRule="auto"/>
        <w:ind w:firstLine="480"/>
        <w:jc w:val="left"/>
        <w:rPr>
          <w:rFonts w:hint="eastAsia" w:ascii="宋体" w:hAnsi="宋体" w:eastAsia="宋体" w:cs="宋体"/>
          <w:b/>
          <w:bCs/>
          <w:color w:val="auto"/>
          <w:sz w:val="24"/>
          <w:highlight w:val="none"/>
          <w:lang w:bidi="ar"/>
        </w:rPr>
      </w:pPr>
    </w:p>
    <w:p w14:paraId="13822DE3">
      <w:pPr>
        <w:widowControl/>
        <w:spacing w:line="360" w:lineRule="auto"/>
        <w:ind w:firstLine="480"/>
        <w:jc w:val="left"/>
        <w:rPr>
          <w:rFonts w:hint="eastAsia" w:ascii="宋体" w:hAnsi="宋体" w:eastAsia="宋体" w:cs="宋体"/>
          <w:b/>
          <w:bCs/>
          <w:color w:val="auto"/>
          <w:sz w:val="24"/>
          <w:highlight w:val="none"/>
          <w:lang w:bidi="ar"/>
        </w:rPr>
      </w:pPr>
    </w:p>
    <w:p w14:paraId="5536FDA2">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p>
    <w:p w14:paraId="0AECAAE1">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 请供应商如实填写，所填内容将作为评审的依据。如填写不完整，将不享受扶持政策。 </w:t>
      </w:r>
    </w:p>
    <w:p w14:paraId="55565C17">
      <w:pPr>
        <w:widowControl/>
        <w:spacing w:line="360" w:lineRule="auto"/>
        <w:ind w:firstLine="440"/>
        <w:jc w:val="left"/>
        <w:rPr>
          <w:rFonts w:hint="eastAsia" w:ascii="宋体" w:hAnsi="宋体" w:eastAsia="宋体" w:cs="宋体"/>
          <w:color w:val="auto"/>
          <w:highlight w:val="none"/>
        </w:rPr>
      </w:pPr>
      <w:r>
        <w:rPr>
          <w:rFonts w:hint="eastAsia" w:ascii="宋体" w:hAnsi="宋体" w:eastAsia="宋体" w:cs="宋体"/>
          <w:color w:val="auto"/>
          <w:szCs w:val="21"/>
          <w:highlight w:val="none"/>
          <w:lang w:bidi="ar"/>
        </w:rPr>
        <w:t>2、</w:t>
      </w:r>
      <w:r>
        <w:rPr>
          <w:rFonts w:hint="eastAsia" w:ascii="宋体" w:hAnsi="宋体" w:eastAsia="宋体" w:cs="宋体"/>
          <w:color w:val="auto"/>
          <w:sz w:val="24"/>
          <w:highlight w:val="none"/>
          <w:lang w:bidi="ar"/>
        </w:rPr>
        <w:t>成交供应商的《残疾人福利性单位声明函》随成交结果公开。</w:t>
      </w:r>
    </w:p>
    <w:p w14:paraId="4E3ED4FA">
      <w:pPr>
        <w:widowControl/>
        <w:spacing w:line="360" w:lineRule="auto"/>
        <w:ind w:firstLine="620"/>
        <w:jc w:val="left"/>
        <w:rPr>
          <w:rFonts w:hint="eastAsia" w:ascii="宋体" w:hAnsi="宋体" w:eastAsia="宋体" w:cs="宋体"/>
          <w:b/>
          <w:bCs/>
          <w:color w:val="auto"/>
          <w:sz w:val="31"/>
          <w:szCs w:val="31"/>
          <w:highlight w:val="none"/>
          <w:lang w:bidi="ar"/>
        </w:rPr>
      </w:pPr>
    </w:p>
    <w:p w14:paraId="62B990BB">
      <w:pPr>
        <w:widowControl/>
        <w:spacing w:line="360" w:lineRule="auto"/>
        <w:ind w:firstLine="620"/>
        <w:jc w:val="left"/>
        <w:rPr>
          <w:rFonts w:hint="eastAsia" w:ascii="宋体" w:hAnsi="宋体" w:eastAsia="宋体" w:cs="宋体"/>
          <w:b/>
          <w:bCs/>
          <w:color w:val="auto"/>
          <w:sz w:val="31"/>
          <w:szCs w:val="31"/>
          <w:highlight w:val="none"/>
          <w:lang w:bidi="ar"/>
        </w:rPr>
      </w:pPr>
    </w:p>
    <w:p w14:paraId="3FA745E5">
      <w:pPr>
        <w:widowControl/>
        <w:spacing w:line="360" w:lineRule="auto"/>
        <w:ind w:firstLine="620"/>
        <w:jc w:val="left"/>
        <w:rPr>
          <w:rFonts w:hint="eastAsia" w:ascii="宋体" w:hAnsi="宋体" w:eastAsia="宋体" w:cs="宋体"/>
          <w:b/>
          <w:bCs/>
          <w:color w:val="auto"/>
          <w:sz w:val="31"/>
          <w:szCs w:val="31"/>
          <w:highlight w:val="none"/>
          <w:lang w:bidi="ar"/>
        </w:rPr>
      </w:pPr>
    </w:p>
    <w:p w14:paraId="0CAF56BE">
      <w:pPr>
        <w:pStyle w:val="18"/>
        <w:rPr>
          <w:rFonts w:hint="eastAsia" w:ascii="宋体" w:hAnsi="宋体" w:eastAsia="宋体" w:cs="宋体"/>
          <w:color w:val="auto"/>
          <w:highlight w:val="none"/>
        </w:rPr>
      </w:pPr>
    </w:p>
    <w:p w14:paraId="1431BFE3">
      <w:pPr>
        <w:widowControl/>
        <w:spacing w:line="360" w:lineRule="auto"/>
        <w:ind w:firstLine="620"/>
        <w:jc w:val="left"/>
        <w:rPr>
          <w:rFonts w:hint="eastAsia" w:ascii="宋体" w:hAnsi="宋体" w:eastAsia="宋体" w:cs="宋体"/>
          <w:b/>
          <w:bCs/>
          <w:color w:val="auto"/>
          <w:sz w:val="31"/>
          <w:szCs w:val="31"/>
          <w:highlight w:val="none"/>
          <w:lang w:bidi="ar"/>
        </w:rPr>
      </w:pPr>
    </w:p>
    <w:p w14:paraId="5C0CF09D">
      <w:pPr>
        <w:widowControl/>
        <w:spacing w:line="360" w:lineRule="auto"/>
        <w:ind w:firstLine="620"/>
        <w:jc w:val="left"/>
        <w:rPr>
          <w:rFonts w:hint="eastAsia" w:ascii="宋体" w:hAnsi="宋体" w:eastAsia="宋体" w:cs="宋体"/>
          <w:b/>
          <w:bCs/>
          <w:color w:val="auto"/>
          <w:sz w:val="31"/>
          <w:szCs w:val="31"/>
          <w:highlight w:val="none"/>
          <w:lang w:bidi="ar"/>
        </w:rPr>
      </w:pPr>
    </w:p>
    <w:p w14:paraId="3BF877C7">
      <w:pPr>
        <w:pStyle w:val="60"/>
        <w:ind w:firstLine="622"/>
        <w:rPr>
          <w:rFonts w:hint="eastAsia" w:ascii="宋体" w:hAnsi="宋体" w:eastAsia="宋体" w:cs="宋体"/>
          <w:b/>
          <w:bCs/>
          <w:color w:val="auto"/>
          <w:sz w:val="31"/>
          <w:szCs w:val="31"/>
          <w:highlight w:val="none"/>
          <w:lang w:bidi="ar"/>
        </w:rPr>
      </w:pPr>
    </w:p>
    <w:p w14:paraId="20A9AF28">
      <w:pPr>
        <w:rPr>
          <w:rFonts w:hint="eastAsia" w:ascii="宋体" w:hAnsi="宋体" w:eastAsia="宋体" w:cs="宋体"/>
          <w:b/>
          <w:bCs/>
          <w:color w:val="auto"/>
          <w:sz w:val="31"/>
          <w:szCs w:val="31"/>
          <w:highlight w:val="none"/>
          <w:lang w:bidi="ar"/>
        </w:rPr>
      </w:pPr>
    </w:p>
    <w:p w14:paraId="66427995">
      <w:pPr>
        <w:pStyle w:val="16"/>
        <w:rPr>
          <w:rFonts w:hint="eastAsia" w:ascii="宋体" w:hAnsi="宋体" w:eastAsia="宋体" w:cs="宋体"/>
          <w:b/>
          <w:bCs/>
          <w:color w:val="auto"/>
          <w:sz w:val="31"/>
          <w:szCs w:val="31"/>
          <w:highlight w:val="none"/>
          <w:lang w:bidi="ar"/>
        </w:rPr>
      </w:pPr>
    </w:p>
    <w:p w14:paraId="634D3605">
      <w:pPr>
        <w:rPr>
          <w:rFonts w:hint="eastAsia" w:ascii="宋体" w:hAnsi="宋体" w:eastAsia="宋体" w:cs="宋体"/>
          <w:b/>
          <w:bCs/>
          <w:color w:val="auto"/>
          <w:sz w:val="31"/>
          <w:szCs w:val="31"/>
          <w:highlight w:val="none"/>
          <w:lang w:bidi="ar"/>
        </w:rPr>
      </w:pPr>
    </w:p>
    <w:p w14:paraId="524A9E11">
      <w:pPr>
        <w:widowControl/>
        <w:spacing w:line="360" w:lineRule="auto"/>
        <w:ind w:firstLine="620"/>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五、资格审查材料</w:t>
      </w:r>
    </w:p>
    <w:p w14:paraId="232448A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b/>
          <w:bCs/>
          <w:color w:val="auto"/>
          <w:highlight w:val="none"/>
        </w:rPr>
      </w:pPr>
      <w:r>
        <w:rPr>
          <w:rFonts w:hint="eastAsia" w:ascii="宋体" w:hAnsi="宋体" w:eastAsia="宋体" w:cs="宋体"/>
          <w:b/>
          <w:bCs/>
          <w:color w:val="auto"/>
          <w:sz w:val="22"/>
          <w:highlight w:val="none"/>
        </w:rPr>
        <w:t>1、满足《中华人民共和国政府采购法》第二十二条规定，提供下列材料：</w:t>
      </w:r>
    </w:p>
    <w:p w14:paraId="13D7273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（1）法人或者其他组织的营业执照等证明文件，自然人的身份证明；</w:t>
      </w:r>
    </w:p>
    <w:p w14:paraId="7CA4A61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（2）具有良好的商业信誉和健全的财务会计制度。（按连财购〔2023〕4 号文件要求， 符合要求的提交《财务状况报告及税收、社会保障资金缴纳情况承诺函》，</w:t>
      </w:r>
      <w:r>
        <w:rPr>
          <w:rFonts w:hint="eastAsia" w:ascii="宋体" w:hAnsi="宋体" w:eastAsia="宋体" w:cs="宋体"/>
          <w:color w:val="auto"/>
          <w:sz w:val="22"/>
          <w:highlight w:val="none"/>
          <w:lang w:val="en-US" w:eastAsia="zh-CN"/>
        </w:rPr>
        <w:t>并上传至电子投标文件中，</w:t>
      </w:r>
      <w:r>
        <w:rPr>
          <w:rFonts w:hint="eastAsia" w:ascii="宋体" w:hAnsi="宋体" w:eastAsia="宋体" w:cs="宋体"/>
          <w:color w:val="auto"/>
          <w:sz w:val="22"/>
          <w:highlight w:val="none"/>
        </w:rPr>
        <w:t xml:space="preserve">格式详见采购文件）； </w:t>
      </w:r>
    </w:p>
    <w:p w14:paraId="596C2F7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（3）依法缴纳税收和社会保障资金的相关材料。（按连财购〔2023〕4 号文件要求，符合要求的提交《财务状况报告及税收、社会保障资金缴纳情况承诺函》，</w:t>
      </w:r>
      <w:r>
        <w:rPr>
          <w:rFonts w:hint="eastAsia" w:ascii="宋体" w:hAnsi="宋体" w:eastAsia="宋体" w:cs="宋体"/>
          <w:color w:val="auto"/>
          <w:sz w:val="22"/>
          <w:highlight w:val="none"/>
          <w:lang w:val="en-US" w:eastAsia="zh-CN"/>
        </w:rPr>
        <w:t>并上传至电子投标文件中，</w:t>
      </w:r>
      <w:r>
        <w:rPr>
          <w:rFonts w:hint="eastAsia" w:ascii="宋体" w:hAnsi="宋体" w:eastAsia="宋体" w:cs="宋体"/>
          <w:color w:val="auto"/>
          <w:sz w:val="22"/>
          <w:highlight w:val="none"/>
        </w:rPr>
        <w:t xml:space="preserve">格式详见采购文件）； </w:t>
      </w:r>
    </w:p>
    <w:p w14:paraId="4895BE3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（4）具备履行合同所必需的设备和专业技术能力的声明及证明材料（承诺文件见采购文件格式，后附证明材料）； </w:t>
      </w:r>
    </w:p>
    <w:p w14:paraId="7C94CED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（5）参加政府采购活动前三年内在经营活动中没有重大违法记录的书面声明（承诺文件见采购文件格式）。</w:t>
      </w:r>
    </w:p>
    <w:p w14:paraId="6043B32F">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2、落实政府采购政策需满足的资格要求：</w:t>
      </w:r>
      <w:r>
        <w:rPr>
          <w:rFonts w:hint="eastAsia" w:cs="宋体"/>
          <w:b/>
          <w:bCs/>
          <w:color w:val="auto"/>
          <w:sz w:val="22"/>
          <w:highlight w:val="none"/>
          <w:lang w:eastAsia="zh-CN"/>
        </w:rPr>
        <w:t>（</w:t>
      </w:r>
      <w:r>
        <w:rPr>
          <w:rFonts w:hint="eastAsia" w:cs="宋体"/>
          <w:b/>
          <w:bCs/>
          <w:color w:val="auto"/>
          <w:sz w:val="22"/>
          <w:highlight w:val="none"/>
          <w:lang w:val="en-US" w:eastAsia="zh-CN"/>
        </w:rPr>
        <w:t>1）</w:t>
      </w:r>
      <w:r>
        <w:rPr>
          <w:rFonts w:hint="eastAsia" w:ascii="宋体" w:hAnsi="宋体" w:eastAsia="宋体" w:cs="宋体"/>
          <w:color w:val="auto"/>
          <w:sz w:val="22"/>
          <w:highlight w:val="none"/>
        </w:rPr>
        <w:t>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p>
    <w:p w14:paraId="790264DF">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1"/>
          <w:szCs w:val="21"/>
        </w:rPr>
      </w:pPr>
      <w:r>
        <w:rPr>
          <w:rFonts w:hint="eastAsia" w:ascii="宋体" w:hAnsi="宋体" w:eastAsia="宋体" w:cs="宋体"/>
          <w:color w:val="000000"/>
          <w:sz w:val="21"/>
          <w:szCs w:val="21"/>
        </w:rPr>
        <w:t>（2）支持绿色发展</w:t>
      </w:r>
    </w:p>
    <w:p w14:paraId="460951C0">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pPr>
      <w:r>
        <w:rPr>
          <w:rFonts w:hint="eastAsia" w:ascii="宋体" w:hAnsi="宋体" w:eastAsia="宋体" w:cs="宋体"/>
          <w:color w:val="000000"/>
          <w:sz w:val="21"/>
          <w:szCs w:val="21"/>
        </w:rPr>
        <w:t>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p>
    <w:p w14:paraId="1C8FC2B9">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pPr>
      <w:r>
        <w:rPr>
          <w:rFonts w:hint="eastAsia" w:ascii="宋体" w:hAnsi="宋体" w:eastAsia="宋体" w:cs="宋体"/>
          <w:color w:val="000000"/>
          <w:sz w:val="21"/>
          <w:szCs w:val="21"/>
        </w:rPr>
        <w:t>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3FDBAD7C">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pPr>
      <w:r>
        <w:rPr>
          <w:rFonts w:hint="eastAsia" w:ascii="宋体" w:hAnsi="宋体" w:eastAsia="宋体" w:cs="宋体"/>
          <w:color w:val="000000"/>
          <w:sz w:val="21"/>
          <w:szCs w:val="21"/>
        </w:rPr>
        <w:t>③政府采购项目执行《财政部 生态环境部 工业和信息化部关于印发&lt;绿色数据中心政府采购需求标准（试行）&gt;的通知》（财库〔2023〕7号）相关要求。</w:t>
      </w:r>
    </w:p>
    <w:p w14:paraId="5F16E9DC">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sz w:val="24"/>
          <w:szCs w:val="24"/>
        </w:rPr>
      </w:pPr>
      <w:r>
        <w:rPr>
          <w:rFonts w:hint="eastAsia" w:ascii="宋体" w:hAnsi="宋体" w:eastAsia="宋体" w:cs="宋体"/>
          <w:color w:val="000000"/>
          <w:sz w:val="21"/>
          <w:szCs w:val="21"/>
        </w:rPr>
        <w:t>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625430B1">
      <w:pPr>
        <w:spacing w:line="440" w:lineRule="atLeast"/>
        <w:ind w:firstLine="442"/>
        <w:rPr>
          <w:rFonts w:hint="eastAsia" w:ascii="宋体" w:hAnsi="宋体" w:eastAsia="宋体" w:cs="宋体"/>
          <w:color w:val="auto"/>
          <w:highlight w:val="none"/>
        </w:rPr>
      </w:pPr>
    </w:p>
    <w:p w14:paraId="7ECB0B1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2"/>
        <w:rPr>
          <w:rFonts w:hint="eastAsia" w:ascii="宋体" w:hAnsi="宋体" w:eastAsia="宋体" w:cs="宋体"/>
          <w:b/>
          <w:bCs/>
          <w:color w:val="auto"/>
          <w:highlight w:val="none"/>
        </w:rPr>
      </w:pPr>
      <w:r>
        <w:rPr>
          <w:rFonts w:hint="eastAsia" w:ascii="宋体" w:hAnsi="宋体" w:eastAsia="宋体" w:cs="宋体"/>
          <w:b/>
          <w:bCs/>
          <w:color w:val="auto"/>
          <w:sz w:val="22"/>
          <w:highlight w:val="none"/>
        </w:rPr>
        <w:t>3、本项目的特定资格要求：</w:t>
      </w:r>
    </w:p>
    <w:p w14:paraId="1DDAD105">
      <w:pPr>
        <w:spacing w:line="440" w:lineRule="atLeast"/>
        <w:ind w:firstLine="440"/>
        <w:jc w:val="both"/>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eastAsia="zh-CN" w:bidi="ar"/>
        </w:rPr>
        <w:t>磋商供应商须具备建设行政主管部门核发的</w:t>
      </w:r>
      <w:r>
        <w:rPr>
          <w:rFonts w:hint="eastAsia" w:ascii="宋体" w:hAnsi="宋体" w:eastAsia="宋体" w:cs="宋体"/>
          <w:color w:val="auto"/>
          <w:sz w:val="22"/>
          <w:szCs w:val="22"/>
          <w:highlight w:val="none"/>
          <w:lang w:val="en-US" w:eastAsia="zh-CN" w:bidi="ar"/>
        </w:rPr>
        <w:t>有效的</w:t>
      </w:r>
      <w:r>
        <w:rPr>
          <w:rFonts w:hint="eastAsia" w:cs="宋体"/>
          <w:b/>
          <w:color w:val="auto"/>
          <w:sz w:val="22"/>
          <w:szCs w:val="22"/>
          <w:highlight w:val="none"/>
          <w:lang w:val="en-US" w:eastAsia="zh-CN" w:bidi="ar"/>
        </w:rPr>
        <w:t>市政公用</w:t>
      </w:r>
      <w:r>
        <w:rPr>
          <w:rFonts w:hint="eastAsia" w:ascii="宋体" w:hAnsi="宋体" w:eastAsia="宋体" w:cs="宋体"/>
          <w:b/>
          <w:color w:val="auto"/>
          <w:sz w:val="22"/>
          <w:szCs w:val="22"/>
          <w:highlight w:val="none"/>
          <w:lang w:val="en-US" w:eastAsia="zh-CN" w:bidi="ar"/>
        </w:rPr>
        <w:t>工程施工总承包三级及以上资质</w:t>
      </w:r>
      <w:r>
        <w:rPr>
          <w:rFonts w:hint="eastAsia" w:ascii="宋体" w:hAnsi="宋体" w:eastAsia="宋体" w:cs="宋体"/>
          <w:b/>
          <w:color w:val="auto"/>
          <w:sz w:val="22"/>
          <w:szCs w:val="22"/>
          <w:highlight w:val="none"/>
          <w:lang w:eastAsia="zh-CN" w:bidi="ar"/>
        </w:rPr>
        <w:t>，</w:t>
      </w:r>
      <w:r>
        <w:rPr>
          <w:rFonts w:hint="eastAsia" w:ascii="宋体" w:hAnsi="宋体" w:eastAsia="宋体" w:cs="宋体"/>
          <w:b/>
          <w:color w:val="auto"/>
          <w:sz w:val="22"/>
          <w:szCs w:val="22"/>
          <w:highlight w:val="none"/>
          <w:lang w:val="en-US" w:eastAsia="zh-CN" w:bidi="ar"/>
        </w:rPr>
        <w:t>企业具备安全生产条件，并取得有效的安全生产许可证，并在人员、设备、资金等方面具有相应的施工能力</w:t>
      </w:r>
      <w:r>
        <w:rPr>
          <w:rFonts w:hint="eastAsia" w:ascii="宋体" w:hAnsi="宋体" w:eastAsia="宋体" w:cs="宋体"/>
          <w:b/>
          <w:color w:val="auto"/>
          <w:sz w:val="22"/>
          <w:szCs w:val="22"/>
          <w:highlight w:val="none"/>
          <w:lang w:eastAsia="zh-CN" w:bidi="ar"/>
        </w:rPr>
        <w:t>。</w:t>
      </w:r>
      <w:r>
        <w:rPr>
          <w:rFonts w:hint="eastAsia" w:ascii="宋体" w:hAnsi="宋体" w:eastAsia="宋体" w:cs="宋体"/>
          <w:color w:val="auto"/>
          <w:sz w:val="22"/>
          <w:szCs w:val="22"/>
          <w:highlight w:val="none"/>
          <w:lang w:eastAsia="zh-CN" w:bidi="ar"/>
        </w:rPr>
        <w:t xml:space="preserve">                           </w:t>
      </w:r>
    </w:p>
    <w:p w14:paraId="79CCA21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val="en-US" w:eastAsia="zh-CN" w:bidi="ar"/>
        </w:rPr>
        <w:t>2</w:t>
      </w:r>
      <w:r>
        <w:rPr>
          <w:rFonts w:hint="eastAsia" w:ascii="宋体" w:hAnsi="宋体" w:eastAsia="宋体" w:cs="宋体"/>
          <w:color w:val="auto"/>
          <w:sz w:val="22"/>
          <w:szCs w:val="22"/>
          <w:highlight w:val="none"/>
          <w:lang w:eastAsia="zh-CN" w:bidi="ar"/>
        </w:rPr>
        <w:t>）拟派项目负责人须具备建设行政主管部门颁发的</w:t>
      </w:r>
      <w:r>
        <w:rPr>
          <w:rFonts w:hint="eastAsia" w:ascii="宋体" w:hAnsi="宋体" w:eastAsia="宋体" w:cs="宋体"/>
          <w:color w:val="auto"/>
          <w:sz w:val="22"/>
          <w:szCs w:val="22"/>
          <w:highlight w:val="none"/>
          <w:lang w:val="en-US" w:eastAsia="zh-CN" w:bidi="ar"/>
        </w:rPr>
        <w:t>有效的</w:t>
      </w:r>
      <w:r>
        <w:rPr>
          <w:rFonts w:hint="eastAsia" w:cs="宋体"/>
          <w:b/>
          <w:color w:val="auto"/>
          <w:sz w:val="22"/>
          <w:szCs w:val="22"/>
          <w:highlight w:val="none"/>
          <w:lang w:val="en-US" w:eastAsia="zh-CN" w:bidi="ar"/>
        </w:rPr>
        <w:t>市政公用</w:t>
      </w:r>
      <w:r>
        <w:rPr>
          <w:rFonts w:hint="eastAsia" w:ascii="宋体" w:hAnsi="宋体" w:eastAsia="宋体" w:cs="宋体"/>
          <w:b/>
          <w:color w:val="auto"/>
          <w:sz w:val="22"/>
          <w:szCs w:val="22"/>
          <w:highlight w:val="none"/>
          <w:lang w:val="en-US" w:eastAsia="zh-CN" w:bidi="ar"/>
        </w:rPr>
        <w:t>工程</w:t>
      </w:r>
      <w:r>
        <w:rPr>
          <w:rFonts w:hint="eastAsia" w:ascii="宋体" w:hAnsi="宋体" w:eastAsia="宋体" w:cs="宋体"/>
          <w:b/>
          <w:bCs/>
          <w:color w:val="auto"/>
          <w:sz w:val="22"/>
          <w:szCs w:val="22"/>
          <w:highlight w:val="none"/>
          <w:lang w:val="en-US" w:eastAsia="zh-CN" w:bidi="ar"/>
        </w:rPr>
        <w:t>专业二级及以上注册建造师资格，且具备有效的安全生产考核合格证（B类）。</w:t>
      </w:r>
    </w:p>
    <w:p w14:paraId="0B00945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400" w:lineRule="exact"/>
        <w:ind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auto"/>
          <w:sz w:val="22"/>
          <w:highlight w:val="none"/>
          <w:lang w:val="en-US" w:eastAsia="zh-CN"/>
        </w:rPr>
        <w:t>2025年0</w:t>
      </w:r>
      <w:r>
        <w:rPr>
          <w:rFonts w:hint="eastAsia" w:cs="宋体"/>
          <w:b/>
          <w:bCs/>
          <w:color w:val="auto"/>
          <w:sz w:val="22"/>
          <w:highlight w:val="none"/>
          <w:lang w:val="en-US" w:eastAsia="zh-CN"/>
        </w:rPr>
        <w:t>5</w:t>
      </w:r>
      <w:r>
        <w:rPr>
          <w:rFonts w:hint="eastAsia" w:ascii="宋体" w:hAnsi="宋体" w:eastAsia="宋体" w:cs="宋体"/>
          <w:b/>
          <w:bCs/>
          <w:color w:val="auto"/>
          <w:sz w:val="22"/>
          <w:highlight w:val="none"/>
          <w:lang w:val="en-US" w:eastAsia="zh-CN"/>
        </w:rPr>
        <w:t>月至今任意一个月</w:t>
      </w:r>
      <w:r>
        <w:rPr>
          <w:rFonts w:hint="eastAsia" w:ascii="宋体" w:hAnsi="宋体" w:eastAsia="宋体" w:cs="宋体"/>
          <w:color w:val="auto"/>
          <w:sz w:val="22"/>
          <w:highlight w:val="none"/>
          <w:lang w:val="en-US" w:eastAsia="zh-CN"/>
        </w:rPr>
        <w:t>由磋商供应商为其缴纳的社保证明（加盖社保中心章或社保中心参保缴费证明电子专用章）</w:t>
      </w:r>
      <w:r>
        <w:rPr>
          <w:rFonts w:hint="eastAsia" w:ascii="宋体" w:hAnsi="宋体" w:eastAsia="宋体" w:cs="宋体"/>
          <w:color w:val="333333"/>
          <w:sz w:val="21"/>
          <w:szCs w:val="21"/>
          <w:shd w:val="clear" w:fill="FFFFFF"/>
        </w:rPr>
        <w:t>（已退休仍在执业有效期内的必须提供退休证明及聘用合同）</w:t>
      </w:r>
      <w:r>
        <w:rPr>
          <w:rFonts w:hint="eastAsia" w:ascii="宋体" w:hAnsi="宋体" w:eastAsia="宋体" w:cs="宋体"/>
          <w:color w:val="333333"/>
          <w:sz w:val="21"/>
          <w:szCs w:val="21"/>
          <w:shd w:val="clear" w:fill="FFFFFF"/>
          <w:lang w:eastAsia="zh-CN"/>
        </w:rPr>
        <w:t>，</w:t>
      </w:r>
      <w:r>
        <w:rPr>
          <w:rFonts w:hint="eastAsia" w:ascii="宋体" w:hAnsi="宋体" w:eastAsia="宋体" w:cs="宋体"/>
          <w:color w:val="auto"/>
          <w:sz w:val="22"/>
          <w:highlight w:val="none"/>
          <w:lang w:val="en-US" w:eastAsia="zh-CN"/>
        </w:rPr>
        <w:t>供应商确定的项目负责人须全程参与磋商过程（含磋商、异议投诉等）</w:t>
      </w:r>
      <w:r>
        <w:rPr>
          <w:rFonts w:hint="eastAsia" w:cs="宋体"/>
          <w:color w:val="auto"/>
          <w:sz w:val="22"/>
          <w:highlight w:val="none"/>
          <w:lang w:val="en-US" w:eastAsia="zh-CN"/>
        </w:rPr>
        <w:t>。</w:t>
      </w:r>
    </w:p>
    <w:p w14:paraId="4DA929B2">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rPr>
        <w:t>）投标人无不良行为、无借牌挂靠行为、项目负责人无不良行为承诺书，投标人、法定代表人、项目负责人无行贿犯罪记录承诺书。（见供应商承诺书格式）</w:t>
      </w:r>
    </w:p>
    <w:p w14:paraId="2985459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5</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本工程招标工作执行苏建招办〔2022〕2 号文，投标人在投标文件递交截止时间当日，建筑业企业投标资质动态监管结果不处于不合格状态。关于企业资质动态核查，由投标人在投标文件中作出书面承诺,若投标文件递交截止时间当日企业资质核查不合格,将主动放弃中标资格。</w:t>
      </w:r>
    </w:p>
    <w:p w14:paraId="03F800D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6</w:t>
      </w: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p>
    <w:p w14:paraId="53276A6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43F992CC">
      <w:pPr>
        <w:spacing w:line="440" w:lineRule="atLeas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4.其他资格要求：</w:t>
      </w:r>
    </w:p>
    <w:p w14:paraId="4A1FE3D9">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1）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p>
    <w:p w14:paraId="0AA98CFA">
      <w:pPr>
        <w:spacing w:line="440" w:lineRule="atLeast"/>
        <w:ind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供应商/投标主体及其法定代表人、项目负责人未被列入“连云港市赣榆区行贿人联合惩戒信息库。”</w:t>
      </w:r>
    </w:p>
    <w:p w14:paraId="6BCE9DBD">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备注：采购人/招标人和区公共资源交易中心通过赣榆区行贿人联合惩戒信息库，对供应商/投标主体情况进行内部查询，查询结果页面打印留存。</w:t>
      </w:r>
    </w:p>
    <w:p w14:paraId="3D4C7C63">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3</w:t>
      </w:r>
      <w:r>
        <w:rPr>
          <w:rFonts w:hint="eastAsia" w:ascii="宋体" w:hAnsi="宋体" w:eastAsia="宋体" w:cs="宋体"/>
          <w:color w:val="auto"/>
          <w:sz w:val="22"/>
          <w:highlight w:val="none"/>
        </w:rPr>
        <w:t>）单位负责人为同一人或者存在直接控股、管理关系的不同供应商，不得参加同一合同项下的政府采购活动。</w:t>
      </w:r>
    </w:p>
    <w:p w14:paraId="3F9A04B8">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rPr>
        <w:t>）若供应商的法定代表人参加</w:t>
      </w:r>
      <w:r>
        <w:rPr>
          <w:rFonts w:hint="eastAsia" w:ascii="宋体" w:hAnsi="宋体" w:eastAsia="宋体" w:cs="宋体"/>
          <w:color w:val="auto"/>
          <w:sz w:val="22"/>
          <w:highlight w:val="none"/>
          <w:lang w:val="en-US" w:eastAsia="zh-CN"/>
        </w:rPr>
        <w:t>磋商</w:t>
      </w:r>
      <w:r>
        <w:rPr>
          <w:rFonts w:hint="eastAsia" w:ascii="宋体" w:hAnsi="宋体" w:eastAsia="宋体" w:cs="宋体"/>
          <w:color w:val="auto"/>
          <w:sz w:val="22"/>
          <w:highlight w:val="none"/>
        </w:rPr>
        <w:t>的，则需提供法定代表人资格证明及本人的身份证；若授权委托代理人参加</w:t>
      </w:r>
      <w:r>
        <w:rPr>
          <w:rFonts w:hint="eastAsia" w:ascii="宋体" w:hAnsi="宋体" w:eastAsia="宋体" w:cs="宋体"/>
          <w:color w:val="auto"/>
          <w:sz w:val="22"/>
          <w:highlight w:val="none"/>
          <w:lang w:val="en-US" w:eastAsia="zh-CN"/>
        </w:rPr>
        <w:t>磋商</w:t>
      </w:r>
      <w:r>
        <w:rPr>
          <w:rFonts w:hint="eastAsia" w:ascii="宋体" w:hAnsi="宋体" w:eastAsia="宋体" w:cs="宋体"/>
          <w:color w:val="auto"/>
          <w:sz w:val="22"/>
          <w:highlight w:val="none"/>
        </w:rPr>
        <w:t>的，则提供企业法人委托书、授权委托人身份证复印件及被授权人身份证。</w:t>
      </w:r>
    </w:p>
    <w:p w14:paraId="0BCCCC1E">
      <w:pPr>
        <w:spacing w:line="620" w:lineRule="atLeast"/>
        <w:ind w:firstLine="44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5</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本项目不接受联合体磋商，成交后不得转包或分包（承诺文件见采购文件格式）。</w:t>
      </w:r>
    </w:p>
    <w:p w14:paraId="4A566EBD">
      <w:pPr>
        <w:spacing w:line="620" w:lineRule="atLeast"/>
        <w:ind w:firstLine="442"/>
        <w:jc w:val="lef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注：以上</w:t>
      </w:r>
      <w:r>
        <w:rPr>
          <w:rFonts w:hint="eastAsia" w:ascii="宋体" w:hAnsi="宋体" w:eastAsia="宋体" w:cs="宋体"/>
          <w:b/>
          <w:color w:val="auto"/>
          <w:highlight w:val="none"/>
        </w:rPr>
        <w:t>资格审查材料</w:t>
      </w:r>
      <w:r>
        <w:rPr>
          <w:rFonts w:hint="eastAsia" w:ascii="宋体" w:hAnsi="宋体" w:eastAsia="宋体" w:cs="宋体"/>
          <w:b/>
          <w:color w:val="auto"/>
          <w:highlight w:val="none"/>
          <w:lang w:val="en-US" w:eastAsia="zh-CN"/>
        </w:rPr>
        <w:t>证明材料</w:t>
      </w:r>
      <w:r>
        <w:rPr>
          <w:rFonts w:hint="eastAsia" w:ascii="宋体" w:hAnsi="宋体" w:eastAsia="宋体" w:cs="宋体"/>
          <w:b/>
          <w:color w:val="auto"/>
          <w:highlight w:val="none"/>
        </w:rPr>
        <w:t>均需提供原件扫描件，扫描件需齐全并能清晰辨认并在有效期，否则由此引起后果自行承担。</w:t>
      </w:r>
    </w:p>
    <w:p w14:paraId="55FDC7FE">
      <w:pPr>
        <w:widowControl/>
        <w:spacing w:line="360" w:lineRule="auto"/>
        <w:ind w:firstLine="620"/>
        <w:jc w:val="center"/>
        <w:rPr>
          <w:rFonts w:hint="eastAsia" w:ascii="宋体" w:hAnsi="宋体" w:eastAsia="宋体" w:cs="宋体"/>
          <w:b/>
          <w:color w:val="auto"/>
          <w:sz w:val="31"/>
          <w:szCs w:val="31"/>
          <w:highlight w:val="none"/>
          <w:lang w:val="en-US" w:eastAsia="zh-CN" w:bidi="ar"/>
        </w:rPr>
      </w:pPr>
    </w:p>
    <w:p w14:paraId="251C970B">
      <w:pPr>
        <w:widowControl/>
        <w:spacing w:line="360" w:lineRule="auto"/>
        <w:ind w:firstLine="620"/>
        <w:jc w:val="center"/>
        <w:rPr>
          <w:rFonts w:hint="eastAsia" w:ascii="宋体" w:hAnsi="宋体" w:eastAsia="宋体" w:cs="宋体"/>
          <w:b/>
          <w:color w:val="auto"/>
          <w:sz w:val="31"/>
          <w:szCs w:val="31"/>
          <w:highlight w:val="none"/>
          <w:lang w:val="en-US" w:eastAsia="zh-CN" w:bidi="ar"/>
        </w:rPr>
      </w:pPr>
    </w:p>
    <w:p w14:paraId="388D9896">
      <w:pPr>
        <w:widowControl/>
        <w:spacing w:line="360" w:lineRule="auto"/>
        <w:ind w:firstLine="620"/>
        <w:jc w:val="center"/>
        <w:rPr>
          <w:rFonts w:hint="eastAsia" w:ascii="宋体" w:hAnsi="宋体" w:eastAsia="宋体" w:cs="宋体"/>
          <w:b/>
          <w:color w:val="auto"/>
          <w:sz w:val="31"/>
          <w:szCs w:val="31"/>
          <w:highlight w:val="none"/>
          <w:lang w:val="en-US" w:eastAsia="zh-CN" w:bidi="ar"/>
        </w:rPr>
      </w:pPr>
    </w:p>
    <w:p w14:paraId="2116BF2D">
      <w:pPr>
        <w:widowControl/>
        <w:spacing w:line="360" w:lineRule="auto"/>
        <w:ind w:firstLine="620"/>
        <w:jc w:val="center"/>
        <w:rPr>
          <w:rFonts w:hint="eastAsia" w:ascii="宋体" w:hAnsi="宋体" w:eastAsia="宋体" w:cs="宋体"/>
          <w:b/>
          <w:color w:val="auto"/>
          <w:sz w:val="31"/>
          <w:szCs w:val="31"/>
          <w:highlight w:val="none"/>
          <w:lang w:val="en-US" w:eastAsia="zh-CN" w:bidi="ar"/>
        </w:rPr>
      </w:pPr>
    </w:p>
    <w:p w14:paraId="085A8E8C">
      <w:pPr>
        <w:pStyle w:val="2"/>
        <w:rPr>
          <w:rFonts w:hint="eastAsia" w:ascii="宋体" w:hAnsi="宋体" w:eastAsia="宋体" w:cs="宋体"/>
          <w:b/>
          <w:color w:val="auto"/>
          <w:sz w:val="31"/>
          <w:szCs w:val="31"/>
          <w:highlight w:val="none"/>
          <w:lang w:val="en-US" w:eastAsia="zh-CN" w:bidi="ar"/>
        </w:rPr>
      </w:pPr>
      <w:bookmarkStart w:id="27" w:name="_GoBack"/>
      <w:bookmarkEnd w:id="27"/>
    </w:p>
    <w:p w14:paraId="5442B2B4">
      <w:pPr>
        <w:rPr>
          <w:rFonts w:hint="eastAsia" w:ascii="宋体" w:hAnsi="宋体" w:eastAsia="宋体" w:cs="宋体"/>
          <w:b/>
          <w:color w:val="auto"/>
          <w:sz w:val="31"/>
          <w:szCs w:val="31"/>
          <w:highlight w:val="none"/>
          <w:lang w:val="en-US" w:eastAsia="zh-CN" w:bidi="ar"/>
        </w:rPr>
      </w:pPr>
    </w:p>
    <w:p w14:paraId="1A8919E9">
      <w:pPr>
        <w:pStyle w:val="2"/>
        <w:rPr>
          <w:rFonts w:hint="eastAsia" w:ascii="宋体" w:hAnsi="宋体" w:eastAsia="宋体" w:cs="宋体"/>
          <w:b/>
          <w:color w:val="auto"/>
          <w:sz w:val="31"/>
          <w:szCs w:val="31"/>
          <w:highlight w:val="none"/>
          <w:lang w:val="en-US" w:eastAsia="zh-CN" w:bidi="ar"/>
        </w:rPr>
      </w:pPr>
    </w:p>
    <w:p w14:paraId="0A618F32">
      <w:pPr>
        <w:rPr>
          <w:rFonts w:hint="eastAsia" w:ascii="宋体" w:hAnsi="宋体" w:eastAsia="宋体" w:cs="宋体"/>
          <w:b/>
          <w:color w:val="auto"/>
          <w:sz w:val="31"/>
          <w:szCs w:val="31"/>
          <w:highlight w:val="none"/>
          <w:lang w:val="en-US" w:eastAsia="zh-CN" w:bidi="ar"/>
        </w:rPr>
      </w:pPr>
    </w:p>
    <w:p w14:paraId="3152EE75">
      <w:pPr>
        <w:pStyle w:val="2"/>
        <w:rPr>
          <w:rFonts w:hint="eastAsia" w:ascii="宋体" w:hAnsi="宋体" w:eastAsia="宋体" w:cs="宋体"/>
          <w:b/>
          <w:color w:val="auto"/>
          <w:sz w:val="31"/>
          <w:szCs w:val="31"/>
          <w:highlight w:val="none"/>
          <w:lang w:val="en-US" w:eastAsia="zh-CN" w:bidi="ar"/>
        </w:rPr>
      </w:pPr>
    </w:p>
    <w:p w14:paraId="5C37463C">
      <w:pPr>
        <w:rPr>
          <w:rFonts w:hint="eastAsia" w:ascii="宋体" w:hAnsi="宋体" w:eastAsia="宋体" w:cs="宋体"/>
          <w:b/>
          <w:color w:val="auto"/>
          <w:sz w:val="31"/>
          <w:szCs w:val="31"/>
          <w:highlight w:val="none"/>
          <w:lang w:val="en-US" w:eastAsia="zh-CN" w:bidi="ar"/>
        </w:rPr>
      </w:pPr>
    </w:p>
    <w:p w14:paraId="59F23488">
      <w:pPr>
        <w:pStyle w:val="2"/>
        <w:rPr>
          <w:rFonts w:hint="eastAsia" w:ascii="宋体" w:hAnsi="宋体" w:eastAsia="宋体" w:cs="宋体"/>
          <w:b/>
          <w:color w:val="auto"/>
          <w:sz w:val="31"/>
          <w:szCs w:val="31"/>
          <w:highlight w:val="none"/>
          <w:lang w:val="en-US" w:eastAsia="zh-CN" w:bidi="ar"/>
        </w:rPr>
      </w:pPr>
    </w:p>
    <w:p w14:paraId="13E4A0C6">
      <w:pPr>
        <w:rPr>
          <w:rFonts w:hint="eastAsia" w:ascii="宋体" w:hAnsi="宋体" w:eastAsia="宋体" w:cs="宋体"/>
          <w:b/>
          <w:color w:val="auto"/>
          <w:sz w:val="31"/>
          <w:szCs w:val="31"/>
          <w:highlight w:val="none"/>
          <w:lang w:val="en-US" w:eastAsia="zh-CN" w:bidi="ar"/>
        </w:rPr>
      </w:pPr>
    </w:p>
    <w:p w14:paraId="078F47F0">
      <w:pPr>
        <w:pStyle w:val="2"/>
        <w:rPr>
          <w:rFonts w:hint="eastAsia" w:ascii="宋体" w:hAnsi="宋体" w:eastAsia="宋体" w:cs="宋体"/>
          <w:b/>
          <w:color w:val="auto"/>
          <w:sz w:val="31"/>
          <w:szCs w:val="31"/>
          <w:highlight w:val="none"/>
          <w:lang w:val="en-US" w:eastAsia="zh-CN" w:bidi="ar"/>
        </w:rPr>
      </w:pPr>
    </w:p>
    <w:p w14:paraId="1C947D1B">
      <w:pPr>
        <w:rPr>
          <w:rFonts w:hint="eastAsia" w:ascii="宋体" w:hAnsi="宋体" w:eastAsia="宋体" w:cs="宋体"/>
          <w:b/>
          <w:color w:val="auto"/>
          <w:sz w:val="31"/>
          <w:szCs w:val="31"/>
          <w:highlight w:val="none"/>
          <w:lang w:val="en-US" w:eastAsia="zh-CN" w:bidi="ar"/>
        </w:rPr>
      </w:pPr>
    </w:p>
    <w:p w14:paraId="33DEC269">
      <w:pPr>
        <w:pStyle w:val="2"/>
        <w:rPr>
          <w:rFonts w:hint="eastAsia" w:ascii="宋体" w:hAnsi="宋体" w:eastAsia="宋体" w:cs="宋体"/>
          <w:b/>
          <w:color w:val="auto"/>
          <w:sz w:val="31"/>
          <w:szCs w:val="31"/>
          <w:highlight w:val="none"/>
          <w:lang w:val="en-US" w:eastAsia="zh-CN" w:bidi="ar"/>
        </w:rPr>
      </w:pPr>
    </w:p>
    <w:p w14:paraId="32F217EC">
      <w:pPr>
        <w:rPr>
          <w:rFonts w:hint="eastAsia" w:ascii="宋体" w:hAnsi="宋体" w:eastAsia="宋体" w:cs="宋体"/>
          <w:b/>
          <w:color w:val="auto"/>
          <w:sz w:val="31"/>
          <w:szCs w:val="31"/>
          <w:highlight w:val="none"/>
          <w:lang w:val="en-US" w:eastAsia="zh-CN" w:bidi="ar"/>
        </w:rPr>
      </w:pPr>
    </w:p>
    <w:p w14:paraId="5A8752A4">
      <w:pPr>
        <w:pStyle w:val="2"/>
        <w:rPr>
          <w:rFonts w:hint="eastAsia" w:ascii="宋体" w:hAnsi="宋体" w:eastAsia="宋体" w:cs="宋体"/>
          <w:b/>
          <w:color w:val="auto"/>
          <w:sz w:val="31"/>
          <w:szCs w:val="31"/>
          <w:highlight w:val="none"/>
          <w:lang w:val="en-US" w:eastAsia="zh-CN" w:bidi="ar"/>
        </w:rPr>
      </w:pPr>
    </w:p>
    <w:p w14:paraId="3CB3D47F">
      <w:pPr>
        <w:rPr>
          <w:rFonts w:hint="eastAsia" w:ascii="宋体" w:hAnsi="宋体" w:eastAsia="宋体" w:cs="宋体"/>
          <w:b/>
          <w:color w:val="auto"/>
          <w:sz w:val="31"/>
          <w:szCs w:val="31"/>
          <w:highlight w:val="none"/>
          <w:lang w:val="en-US" w:eastAsia="zh-CN" w:bidi="ar"/>
        </w:rPr>
      </w:pPr>
    </w:p>
    <w:p w14:paraId="6373EBBA">
      <w:pPr>
        <w:pStyle w:val="2"/>
        <w:rPr>
          <w:rFonts w:hint="eastAsia" w:ascii="宋体" w:hAnsi="宋体" w:eastAsia="宋体" w:cs="宋体"/>
          <w:b/>
          <w:color w:val="auto"/>
          <w:sz w:val="31"/>
          <w:szCs w:val="31"/>
          <w:highlight w:val="none"/>
          <w:lang w:val="en-US" w:eastAsia="zh-CN" w:bidi="ar"/>
        </w:rPr>
      </w:pPr>
    </w:p>
    <w:p w14:paraId="4A3030F6">
      <w:pPr>
        <w:rPr>
          <w:rFonts w:hint="eastAsia" w:ascii="宋体" w:hAnsi="宋体" w:eastAsia="宋体" w:cs="宋体"/>
          <w:b/>
          <w:color w:val="auto"/>
          <w:sz w:val="31"/>
          <w:szCs w:val="31"/>
          <w:highlight w:val="none"/>
          <w:lang w:val="en-US" w:eastAsia="zh-CN" w:bidi="ar"/>
        </w:rPr>
      </w:pPr>
    </w:p>
    <w:p w14:paraId="75389B15">
      <w:pPr>
        <w:pStyle w:val="2"/>
        <w:rPr>
          <w:rFonts w:hint="eastAsia"/>
          <w:lang w:val="en-US" w:eastAsia="zh-CN"/>
        </w:rPr>
      </w:pPr>
    </w:p>
    <w:p w14:paraId="3009A126">
      <w:pPr>
        <w:widowControl/>
        <w:spacing w:line="360" w:lineRule="auto"/>
        <w:ind w:firstLine="620"/>
        <w:jc w:val="center"/>
        <w:rPr>
          <w:rFonts w:hint="eastAsia" w:ascii="宋体" w:hAnsi="宋体" w:eastAsia="宋体" w:cs="宋体"/>
          <w:b/>
          <w:color w:val="auto"/>
          <w:sz w:val="31"/>
          <w:szCs w:val="31"/>
          <w:highlight w:val="none"/>
          <w:lang w:val="en-US" w:eastAsia="zh-CN" w:bidi="ar"/>
        </w:rPr>
      </w:pPr>
    </w:p>
    <w:p w14:paraId="24AB1448">
      <w:pPr>
        <w:widowControl/>
        <w:spacing w:line="360" w:lineRule="auto"/>
        <w:ind w:firstLine="620"/>
        <w:jc w:val="center"/>
        <w:rPr>
          <w:rFonts w:hint="eastAsia" w:ascii="宋体" w:hAnsi="宋体" w:eastAsia="宋体" w:cs="宋体"/>
          <w:b/>
          <w:color w:val="auto"/>
          <w:sz w:val="31"/>
          <w:szCs w:val="31"/>
          <w:highlight w:val="none"/>
          <w:lang w:val="en-US" w:eastAsia="zh-CN" w:bidi="ar"/>
        </w:rPr>
      </w:pPr>
    </w:p>
    <w:p w14:paraId="5682B8B4">
      <w:pPr>
        <w:widowControl/>
        <w:spacing w:line="360" w:lineRule="auto"/>
        <w:ind w:firstLine="620"/>
        <w:jc w:val="cente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val="en-US" w:eastAsia="zh-CN" w:bidi="ar"/>
        </w:rPr>
        <w:t>5.1</w:t>
      </w:r>
      <w:r>
        <w:rPr>
          <w:rFonts w:hint="eastAsia" w:ascii="宋体" w:hAnsi="宋体" w:eastAsia="宋体" w:cs="宋体"/>
          <w:b/>
          <w:color w:val="auto"/>
          <w:sz w:val="31"/>
          <w:szCs w:val="31"/>
          <w:highlight w:val="none"/>
          <w:lang w:bidi="ar"/>
        </w:rPr>
        <w:t>财务状况报告及税收、社会保障资金</w:t>
      </w:r>
    </w:p>
    <w:p w14:paraId="27085494">
      <w:pPr>
        <w:widowControl/>
        <w:spacing w:line="360" w:lineRule="auto"/>
        <w:ind w:firstLine="620"/>
        <w:jc w:val="cente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缴纳情况承诺函</w:t>
      </w:r>
    </w:p>
    <w:p w14:paraId="734ADEB5">
      <w:pPr>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致：</w:t>
      </w:r>
      <w:r>
        <w:rPr>
          <w:rFonts w:hint="eastAsia" w:ascii="宋体" w:hAnsi="宋体" w:eastAsia="宋体" w:cs="宋体"/>
          <w:i w:val="0"/>
          <w:iCs w:val="0"/>
          <w:color w:val="auto"/>
          <w:sz w:val="24"/>
          <w:szCs w:val="24"/>
          <w:highlight w:val="none"/>
          <w:u w:val="single"/>
        </w:rPr>
        <w:t>采购人名称</w:t>
      </w:r>
    </w:p>
    <w:p w14:paraId="560EF2E5">
      <w:pPr>
        <w:spacing w:line="56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我方</w:t>
      </w:r>
      <w:r>
        <w:rPr>
          <w:rFonts w:hint="eastAsia" w:ascii="宋体" w:hAnsi="宋体" w:eastAsia="宋体" w:cs="宋体"/>
          <w:i w:val="0"/>
          <w:iCs w:val="0"/>
          <w:color w:val="auto"/>
          <w:sz w:val="24"/>
          <w:szCs w:val="24"/>
          <w:highlight w:val="none"/>
          <w:u w:val="single"/>
        </w:rPr>
        <w:t>供应商名称</w:t>
      </w:r>
      <w:r>
        <w:rPr>
          <w:rFonts w:hint="eastAsia" w:ascii="宋体" w:hAnsi="宋体" w:eastAsia="宋体" w:cs="宋体"/>
          <w:i w:val="0"/>
          <w:iCs w:val="0"/>
          <w:color w:val="auto"/>
          <w:sz w:val="24"/>
          <w:szCs w:val="24"/>
          <w:highlight w:val="none"/>
        </w:rPr>
        <w:t>参加</w:t>
      </w:r>
      <w:r>
        <w:rPr>
          <w:rFonts w:hint="eastAsia" w:ascii="宋体" w:hAnsi="宋体" w:eastAsia="宋体" w:cs="宋体"/>
          <w:i w:val="0"/>
          <w:iCs w:val="0"/>
          <w:color w:val="auto"/>
          <w:sz w:val="24"/>
          <w:szCs w:val="24"/>
          <w:highlight w:val="none"/>
          <w:u w:val="single"/>
        </w:rPr>
        <w:t>项目名称</w:t>
      </w:r>
      <w:r>
        <w:rPr>
          <w:rFonts w:hint="eastAsia" w:ascii="宋体" w:hAnsi="宋体" w:eastAsia="宋体" w:cs="宋体"/>
          <w:i w:val="0"/>
          <w:iCs w:val="0"/>
          <w:color w:val="auto"/>
          <w:sz w:val="24"/>
          <w:szCs w:val="24"/>
          <w:highlight w:val="none"/>
        </w:rPr>
        <w:t>（项目编号：</w:t>
      </w:r>
      <w:r>
        <w:rPr>
          <w:rFonts w:hint="eastAsia" w:ascii="宋体" w:hAnsi="宋体" w:eastAsia="宋体" w:cs="宋体"/>
          <w:i w:val="0"/>
          <w:iCs w:val="0"/>
          <w:color w:val="auto"/>
          <w:sz w:val="24"/>
          <w:szCs w:val="24"/>
          <w:highlight w:val="none"/>
          <w:u w:val="single"/>
        </w:rPr>
        <w:t>项目编号</w:t>
      </w:r>
      <w:r>
        <w:rPr>
          <w:rFonts w:hint="eastAsia" w:ascii="宋体" w:hAnsi="宋体" w:eastAsia="宋体" w:cs="宋体"/>
          <w:i w:val="0"/>
          <w:iCs w:val="0"/>
          <w:color w:val="auto"/>
          <w:sz w:val="24"/>
          <w:szCs w:val="24"/>
          <w:highlight w:val="none"/>
        </w:rPr>
        <w:t>）采购，根据《</w:t>
      </w:r>
      <w:r>
        <w:rPr>
          <w:rStyle w:val="45"/>
          <w:rFonts w:hint="eastAsia" w:ascii="宋体" w:hAnsi="宋体" w:eastAsia="宋体" w:cs="宋体"/>
          <w:b w:val="0"/>
          <w:i w:val="0"/>
          <w:iCs w:val="0"/>
          <w:color w:val="auto"/>
          <w:sz w:val="24"/>
          <w:szCs w:val="24"/>
          <w:highlight w:val="none"/>
        </w:rPr>
        <w:t>关于简化政府采购供应商资格审查有关事项的通知</w:t>
      </w:r>
      <w:r>
        <w:rPr>
          <w:rFonts w:hint="eastAsia" w:ascii="宋体" w:hAnsi="宋体" w:eastAsia="宋体" w:cs="宋体"/>
          <w:i w:val="0"/>
          <w:iCs w:val="0"/>
          <w:color w:val="auto"/>
          <w:sz w:val="24"/>
          <w:szCs w:val="24"/>
          <w:highlight w:val="none"/>
        </w:rPr>
        <w:t>》（连财购〔2023〕4号），我方承诺具备《中华人民共和国政府采购法》第二十二条第（二）、第（四）项，《中华人民共和国政府采购法实施条例》第十七条第（二）项规定条件的，具体包括：</w:t>
      </w:r>
    </w:p>
    <w:p w14:paraId="0CE3473D">
      <w:pPr>
        <w:spacing w:line="560" w:lineRule="exact"/>
        <w:ind w:left="360" w:firstLine="24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（1）具有良好的商业信誉和健全的财务会计制度（财务状况报告）；</w:t>
      </w:r>
    </w:p>
    <w:p w14:paraId="6413A736">
      <w:pPr>
        <w:spacing w:line="560" w:lineRule="exact"/>
        <w:ind w:left="360" w:firstLine="24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（2）有依法缴纳税收和社会保障资金的良好记录。</w:t>
      </w:r>
    </w:p>
    <w:p w14:paraId="2CD074E5">
      <w:pPr>
        <w:widowControl/>
        <w:spacing w:line="56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74A3D579">
      <w:pPr>
        <w:widowControl/>
        <w:spacing w:line="56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特此承诺</w:t>
      </w:r>
    </w:p>
    <w:p w14:paraId="52F325C4">
      <w:pPr>
        <w:spacing w:line="560" w:lineRule="exact"/>
        <w:ind w:left="360" w:firstLine="405"/>
        <w:rPr>
          <w:rFonts w:hint="eastAsia" w:ascii="宋体" w:hAnsi="宋体" w:eastAsia="宋体" w:cs="宋体"/>
          <w:i w:val="0"/>
          <w:iCs w:val="0"/>
          <w:color w:val="auto"/>
          <w:sz w:val="24"/>
          <w:szCs w:val="24"/>
          <w:highlight w:val="none"/>
        </w:rPr>
      </w:pPr>
    </w:p>
    <w:p w14:paraId="3645C7B7">
      <w:pPr>
        <w:spacing w:line="560" w:lineRule="exact"/>
        <w:ind w:left="360" w:firstLine="405"/>
        <w:rPr>
          <w:rFonts w:hint="eastAsia" w:ascii="宋体" w:hAnsi="宋体" w:eastAsia="宋体" w:cs="宋体"/>
          <w:color w:val="auto"/>
          <w:sz w:val="24"/>
          <w:szCs w:val="24"/>
          <w:highlight w:val="none"/>
        </w:rPr>
      </w:pPr>
    </w:p>
    <w:p w14:paraId="04E005ED">
      <w:pPr>
        <w:spacing w:line="560" w:lineRule="exact"/>
        <w:ind w:left="360"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          </w:t>
      </w:r>
    </w:p>
    <w:p w14:paraId="577DF8A9">
      <w:pPr>
        <w:spacing w:line="560" w:lineRule="exact"/>
        <w:ind w:left="360" w:firstLine="405"/>
        <w:rPr>
          <w:rFonts w:hint="eastAsia" w:ascii="宋体" w:hAnsi="宋体" w:eastAsia="宋体" w:cs="宋体"/>
          <w:color w:val="auto"/>
          <w:sz w:val="24"/>
          <w:szCs w:val="24"/>
          <w:highlight w:val="none"/>
        </w:rPr>
      </w:pPr>
    </w:p>
    <w:p w14:paraId="6CBF9F41">
      <w:pPr>
        <w:spacing w:line="560" w:lineRule="exact"/>
        <w:ind w:left="360"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法定代表人或其委托代理人（签名或签章）：</w:t>
      </w:r>
    </w:p>
    <w:p w14:paraId="623B7422">
      <w:pPr>
        <w:spacing w:line="560" w:lineRule="exact"/>
        <w:ind w:left="360" w:firstLine="405"/>
        <w:rPr>
          <w:rFonts w:hint="eastAsia" w:ascii="宋体" w:hAnsi="宋体" w:eastAsia="宋体" w:cs="宋体"/>
          <w:color w:val="auto"/>
          <w:sz w:val="24"/>
          <w:szCs w:val="24"/>
          <w:highlight w:val="none"/>
        </w:rPr>
      </w:pPr>
    </w:p>
    <w:p w14:paraId="2D943D32">
      <w:pPr>
        <w:spacing w:line="560" w:lineRule="exact"/>
        <w:ind w:left="360"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579FD2ED">
      <w:pPr>
        <w:widowControl/>
        <w:jc w:val="left"/>
        <w:rPr>
          <w:rFonts w:hint="eastAsia" w:ascii="宋体" w:hAnsi="宋体" w:eastAsia="宋体" w:cs="宋体"/>
          <w:color w:val="auto"/>
          <w:sz w:val="24"/>
          <w:szCs w:val="22"/>
          <w:highlight w:val="none"/>
        </w:rPr>
      </w:pPr>
    </w:p>
    <w:p w14:paraId="6556F815">
      <w:pPr>
        <w:widowControl/>
        <w:spacing w:line="360" w:lineRule="auto"/>
        <w:ind w:firstLine="620"/>
        <w:jc w:val="left"/>
        <w:rPr>
          <w:rFonts w:hint="eastAsia" w:ascii="宋体" w:hAnsi="宋体" w:eastAsia="宋体" w:cs="宋体"/>
          <w:b/>
          <w:color w:val="auto"/>
          <w:sz w:val="31"/>
          <w:szCs w:val="31"/>
          <w:highlight w:val="none"/>
          <w:lang w:bidi="ar"/>
        </w:rPr>
      </w:pPr>
    </w:p>
    <w:p w14:paraId="6C3063F8">
      <w:pPr>
        <w:pStyle w:val="210"/>
        <w:rPr>
          <w:rFonts w:hint="eastAsia" w:ascii="宋体" w:hAnsi="宋体" w:eastAsia="宋体" w:cs="宋体"/>
          <w:color w:val="auto"/>
          <w:highlight w:val="none"/>
        </w:rPr>
      </w:pPr>
    </w:p>
    <w:p w14:paraId="7D9A9463">
      <w:pPr>
        <w:pStyle w:val="210"/>
        <w:rPr>
          <w:rFonts w:hint="eastAsia" w:ascii="宋体" w:hAnsi="宋体" w:eastAsia="宋体" w:cs="宋体"/>
          <w:color w:val="auto"/>
          <w:highlight w:val="none"/>
        </w:rPr>
      </w:pPr>
    </w:p>
    <w:p w14:paraId="4963CFEF">
      <w:pPr>
        <w:pStyle w:val="210"/>
        <w:rPr>
          <w:rFonts w:hint="eastAsia" w:ascii="宋体" w:hAnsi="宋体" w:eastAsia="宋体" w:cs="宋体"/>
          <w:color w:val="auto"/>
          <w:highlight w:val="none"/>
        </w:rPr>
      </w:pPr>
    </w:p>
    <w:p w14:paraId="12AFD909">
      <w:pPr>
        <w:pStyle w:val="210"/>
        <w:rPr>
          <w:rFonts w:hint="eastAsia" w:ascii="宋体" w:hAnsi="宋体" w:eastAsia="宋体" w:cs="宋体"/>
          <w:color w:val="auto"/>
          <w:highlight w:val="none"/>
        </w:rPr>
      </w:pPr>
    </w:p>
    <w:p w14:paraId="7E1E481A">
      <w:pPr>
        <w:widowControl/>
        <w:spacing w:line="360" w:lineRule="auto"/>
        <w:ind w:firstLine="620"/>
        <w:jc w:val="left"/>
        <w:rPr>
          <w:rFonts w:hint="eastAsia" w:ascii="宋体" w:hAnsi="宋体" w:eastAsia="宋体" w:cs="宋体"/>
          <w:b/>
          <w:color w:val="auto"/>
          <w:sz w:val="31"/>
          <w:szCs w:val="31"/>
          <w:highlight w:val="none"/>
          <w:lang w:bidi="ar"/>
        </w:rPr>
      </w:pPr>
    </w:p>
    <w:p w14:paraId="2CA61955">
      <w:pPr>
        <w:widowControl/>
        <w:spacing w:line="360" w:lineRule="auto"/>
        <w:ind w:firstLine="620"/>
        <w:jc w:val="left"/>
        <w:rPr>
          <w:rFonts w:hint="eastAsia" w:ascii="宋体" w:hAnsi="宋体" w:eastAsia="宋体" w:cs="宋体"/>
          <w:b/>
          <w:color w:val="auto"/>
          <w:sz w:val="31"/>
          <w:szCs w:val="31"/>
          <w:highlight w:val="none"/>
          <w:lang w:bidi="ar"/>
        </w:rPr>
      </w:pPr>
    </w:p>
    <w:p w14:paraId="4952AEDD">
      <w:pPr>
        <w:widowControl/>
        <w:spacing w:line="360" w:lineRule="auto"/>
        <w:ind w:firstLine="620"/>
        <w:jc w:val="left"/>
        <w:rPr>
          <w:rFonts w:hint="eastAsia" w:ascii="宋体" w:hAnsi="宋体" w:eastAsia="宋体" w:cs="宋体"/>
          <w:b/>
          <w:color w:val="auto"/>
          <w:highlight w:val="none"/>
        </w:rPr>
      </w:pPr>
      <w:r>
        <w:rPr>
          <w:rFonts w:hint="eastAsia" w:ascii="宋体" w:hAnsi="宋体" w:eastAsia="宋体" w:cs="宋体"/>
          <w:b/>
          <w:color w:val="auto"/>
          <w:sz w:val="31"/>
          <w:szCs w:val="31"/>
          <w:highlight w:val="none"/>
          <w:lang w:bidi="ar"/>
        </w:rPr>
        <w:t xml:space="preserve">5.2具备履行合同所必需的设备和专业技术能力的声明(格式) </w:t>
      </w:r>
    </w:p>
    <w:p w14:paraId="3C1A4122">
      <w:pPr>
        <w:widowControl/>
        <w:spacing w:line="360" w:lineRule="auto"/>
        <w:ind w:firstLine="480"/>
        <w:jc w:val="left"/>
        <w:rPr>
          <w:rFonts w:hint="eastAsia" w:ascii="宋体" w:hAnsi="宋体" w:eastAsia="宋体" w:cs="宋体"/>
          <w:color w:val="auto"/>
          <w:sz w:val="24"/>
          <w:highlight w:val="none"/>
          <w:u w:val="single"/>
          <w:lang w:bidi="ar"/>
        </w:rPr>
      </w:pPr>
    </w:p>
    <w:p w14:paraId="1F38A846">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u w:val="single"/>
          <w:lang w:bidi="ar"/>
        </w:rPr>
        <w:t xml:space="preserve">      (供应商名称)            </w:t>
      </w:r>
      <w:r>
        <w:rPr>
          <w:rFonts w:hint="eastAsia" w:ascii="宋体" w:hAnsi="宋体" w:eastAsia="宋体" w:cs="宋体"/>
          <w:color w:val="auto"/>
          <w:sz w:val="24"/>
          <w:highlight w:val="none"/>
          <w:lang w:bidi="ar"/>
        </w:rPr>
        <w:t xml:space="preserve">郑重声明：我单位具备履行本项采购合同所必需的设备和专业技术能力，为履行本项采购合同我单位具备如下主要设备和主要专业技术能力： </w:t>
      </w:r>
    </w:p>
    <w:p w14:paraId="0A5E569A">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主要设备有：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0F10D87E">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主要专业技术能力有：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p>
    <w:p w14:paraId="1D5D2F61">
      <w:pPr>
        <w:widowControl/>
        <w:spacing w:line="360" w:lineRule="auto"/>
        <w:ind w:firstLine="480"/>
        <w:jc w:val="left"/>
        <w:rPr>
          <w:rFonts w:hint="eastAsia" w:ascii="宋体" w:hAnsi="宋体" w:eastAsia="宋体" w:cs="宋体"/>
          <w:color w:val="auto"/>
          <w:sz w:val="24"/>
          <w:highlight w:val="none"/>
          <w:lang w:bidi="ar"/>
        </w:rPr>
      </w:pPr>
    </w:p>
    <w:p w14:paraId="05EE8A25">
      <w:pPr>
        <w:widowControl/>
        <w:spacing w:line="360" w:lineRule="auto"/>
        <w:ind w:firstLine="480"/>
        <w:jc w:val="left"/>
        <w:rPr>
          <w:rFonts w:hint="eastAsia" w:ascii="宋体" w:hAnsi="宋体" w:eastAsia="宋体" w:cs="宋体"/>
          <w:color w:val="auto"/>
          <w:sz w:val="24"/>
          <w:highlight w:val="none"/>
          <w:lang w:bidi="ar"/>
        </w:rPr>
      </w:pPr>
    </w:p>
    <w:p w14:paraId="0F54CCEF">
      <w:pPr>
        <w:widowControl/>
        <w:spacing w:line="480" w:lineRule="auto"/>
        <w:ind w:firstLine="480"/>
        <w:jc w:val="left"/>
        <w:rPr>
          <w:rFonts w:hint="eastAsia" w:ascii="宋体" w:hAnsi="宋体" w:eastAsia="宋体" w:cs="宋体"/>
          <w:color w:val="auto"/>
          <w:sz w:val="24"/>
          <w:highlight w:val="none"/>
          <w:lang w:bidi="ar"/>
        </w:rPr>
      </w:pPr>
    </w:p>
    <w:p w14:paraId="0823864F">
      <w:pPr>
        <w:widowControl/>
        <w:spacing w:line="480" w:lineRule="auto"/>
        <w:ind w:firstLine="480"/>
        <w:jc w:val="left"/>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声明人(公章)：</w:t>
      </w:r>
      <w:r>
        <w:rPr>
          <w:rFonts w:hint="eastAsia" w:ascii="宋体" w:hAnsi="宋体" w:eastAsia="宋体" w:cs="宋体"/>
          <w:color w:val="auto"/>
          <w:sz w:val="24"/>
          <w:highlight w:val="none"/>
          <w:u w:val="single"/>
          <w:lang w:bidi="ar"/>
        </w:rPr>
        <w:t xml:space="preserve">                           </w:t>
      </w:r>
    </w:p>
    <w:p w14:paraId="3519BAD1">
      <w:pPr>
        <w:widowControl/>
        <w:spacing w:line="48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2D24ABAC">
      <w:pPr>
        <w:pStyle w:val="60"/>
        <w:ind w:firstLine="480"/>
        <w:rPr>
          <w:rFonts w:hint="eastAsia" w:ascii="宋体" w:hAnsi="宋体" w:eastAsia="宋体" w:cs="宋体"/>
          <w:color w:val="auto"/>
          <w:highlight w:val="none"/>
        </w:rPr>
      </w:pPr>
    </w:p>
    <w:p w14:paraId="1BCCB159">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6DA8C488">
      <w:pPr>
        <w:widowControl/>
        <w:spacing w:line="360" w:lineRule="auto"/>
        <w:ind w:firstLine="600"/>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5.3参加政府采购活动前三年内在经营活动中没有重大违法记录的书面声明(格式) </w:t>
      </w:r>
    </w:p>
    <w:p w14:paraId="0B2E1D32">
      <w:pPr>
        <w:widowControl/>
        <w:spacing w:line="360" w:lineRule="auto"/>
        <w:ind w:firstLine="4082"/>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p>
    <w:p w14:paraId="71F204BF">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p>
    <w:p w14:paraId="3CFA1402">
      <w:pPr>
        <w:widowControl/>
        <w:spacing w:line="360" w:lineRule="auto"/>
        <w:ind w:firstLine="480"/>
        <w:jc w:val="left"/>
        <w:rPr>
          <w:rFonts w:hint="eastAsia" w:ascii="宋体" w:hAnsi="宋体" w:eastAsia="宋体" w:cs="宋体"/>
          <w:color w:val="auto"/>
          <w:sz w:val="24"/>
          <w:highlight w:val="none"/>
          <w:lang w:bidi="ar"/>
        </w:rPr>
      </w:pPr>
    </w:p>
    <w:p w14:paraId="1485B4BD">
      <w:pPr>
        <w:widowControl/>
        <w:spacing w:line="360" w:lineRule="auto"/>
        <w:ind w:firstLine="480"/>
        <w:jc w:val="left"/>
        <w:rPr>
          <w:rFonts w:hint="eastAsia" w:ascii="宋体" w:hAnsi="宋体" w:eastAsia="宋体" w:cs="宋体"/>
          <w:color w:val="auto"/>
          <w:sz w:val="24"/>
          <w:highlight w:val="none"/>
          <w:lang w:bidi="ar"/>
        </w:rPr>
      </w:pPr>
    </w:p>
    <w:p w14:paraId="4C1D059C">
      <w:pPr>
        <w:widowControl/>
        <w:spacing w:line="60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09070EBC">
      <w:pPr>
        <w:widowControl/>
        <w:spacing w:line="60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6DA560DE">
      <w:pPr>
        <w:widowControl/>
        <w:spacing w:line="60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4935C911">
      <w:pPr>
        <w:widowControl/>
        <w:jc w:val="left"/>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4BEC51AA">
      <w:pPr>
        <w:widowControl/>
        <w:spacing w:line="360" w:lineRule="auto"/>
        <w:ind w:firstLine="600"/>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5.4供应商承诺书(格式)</w:t>
      </w:r>
    </w:p>
    <w:p w14:paraId="2062BDB4">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致：</w:t>
      </w:r>
      <w:r>
        <w:rPr>
          <w:rFonts w:hint="eastAsia" w:cs="宋体"/>
          <w:color w:val="auto"/>
          <w:sz w:val="24"/>
          <w:highlight w:val="none"/>
          <w:u w:val="single"/>
          <w:lang w:eastAsia="zh-CN" w:bidi="ar"/>
        </w:rPr>
        <w:t>赣榆区墩尚镇人民政府</w:t>
      </w:r>
      <w:r>
        <w:rPr>
          <w:rFonts w:hint="eastAsia" w:ascii="宋体" w:hAnsi="宋体" w:eastAsia="宋体" w:cs="宋体"/>
          <w:color w:val="auto"/>
          <w:sz w:val="24"/>
          <w:highlight w:val="none"/>
          <w:u w:val="single"/>
          <w:lang w:bidi="ar"/>
        </w:rPr>
        <w:t xml:space="preserve">   </w:t>
      </w:r>
    </w:p>
    <w:p w14:paraId="684855F0">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工程项目的磋商，我单位郑重承诺： </w:t>
      </w:r>
    </w:p>
    <w:p w14:paraId="79B6E17E">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同志及本单位近</w:t>
      </w:r>
      <w:r>
        <w:rPr>
          <w:rFonts w:hint="eastAsia" w:ascii="宋体" w:hAnsi="宋体" w:eastAsia="宋体" w:cs="宋体"/>
          <w:color w:val="auto"/>
          <w:sz w:val="24"/>
          <w:highlight w:val="none"/>
          <w:u w:val="single"/>
        </w:rPr>
        <w:t xml:space="preserve"> </w:t>
      </w:r>
      <w:r>
        <w:rPr>
          <w:rFonts w:hint="eastAsia" w:cs="宋体"/>
          <w:color w:val="auto"/>
          <w:sz w:val="24"/>
          <w:highlight w:val="none"/>
          <w:u w:val="single"/>
          <w:lang w:val="en-US" w:eastAsia="zh-CN"/>
        </w:rPr>
        <w:t>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年以来无建筑市场不良行为； </w:t>
      </w:r>
    </w:p>
    <w:p w14:paraId="28E57708">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cs="宋体"/>
          <w:color w:val="auto"/>
          <w:sz w:val="24"/>
          <w:highlight w:val="none"/>
          <w:lang w:val="en-US" w:eastAsia="zh-CN"/>
        </w:rPr>
        <w:t>2</w:t>
      </w:r>
      <w:r>
        <w:rPr>
          <w:rFonts w:hint="eastAsia" w:ascii="宋体" w:hAnsi="宋体" w:eastAsia="宋体" w:cs="宋体"/>
          <w:color w:val="auto"/>
          <w:sz w:val="24"/>
          <w:highlight w:val="none"/>
        </w:rPr>
        <w:t>、我公司（超过3年）、法定代表人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同志（超过 5 年）、所报项目负责人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同志（超过 5 年）无行贿犯罪记录；</w:t>
      </w:r>
    </w:p>
    <w:p w14:paraId="062CD11D">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、我单位不存在借牌挂靠行为，不出借挂靠资质。</w:t>
      </w:r>
    </w:p>
    <w:p w14:paraId="410E8623">
      <w:pPr>
        <w:keepNext w:val="0"/>
        <w:keepLines w:val="0"/>
        <w:pageBreakBefore w:val="0"/>
        <w:kinsoku/>
        <w:wordWrap/>
        <w:overflowPunct/>
        <w:topLinePunct w:val="0"/>
        <w:autoSpaceDE/>
        <w:autoSpaceDN/>
        <w:bidi w:val="0"/>
        <w:adjustRightInd/>
        <w:snapToGrid/>
        <w:spacing w:line="400" w:lineRule="exact"/>
        <w:ind w:firstLine="482"/>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4、拟派项目负责人</w:t>
      </w:r>
      <w:r>
        <w:rPr>
          <w:rFonts w:hint="eastAsia" w:ascii="宋体" w:hAnsi="宋体" w:eastAsia="宋体" w:cs="宋体"/>
          <w:color w:val="auto"/>
          <w:sz w:val="24"/>
          <w:highlight w:val="none"/>
          <w:u w:val="single"/>
          <w:lang w:val="en-US" w:eastAsia="zh-CN"/>
        </w:rPr>
        <w:t xml:space="preserve">   （姓名）   </w:t>
      </w:r>
      <w:r>
        <w:rPr>
          <w:rFonts w:hint="eastAsia" w:ascii="宋体" w:hAnsi="宋体" w:eastAsia="宋体" w:cs="宋体"/>
          <w:color w:val="auto"/>
          <w:sz w:val="24"/>
          <w:highlight w:val="none"/>
          <w:lang w:val="en-US" w:eastAsia="zh-CN"/>
        </w:rPr>
        <w:t>同志在该项目磋商期间确无在建工程；</w:t>
      </w:r>
    </w:p>
    <w:p w14:paraId="4825CB3A">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color w:val="auto"/>
          <w:highlight w:val="none"/>
        </w:rPr>
        <w:t>本工程招标工作执行苏建招办〔2022〕2 号文，</w:t>
      </w:r>
      <w:r>
        <w:rPr>
          <w:rFonts w:hint="eastAsia" w:ascii="宋体" w:hAnsi="宋体" w:eastAsia="宋体" w:cs="宋体"/>
          <w:color w:val="auto"/>
          <w:sz w:val="24"/>
          <w:highlight w:val="none"/>
        </w:rPr>
        <w:t>我单位保证</w:t>
      </w:r>
      <w:r>
        <w:rPr>
          <w:rFonts w:hint="eastAsia" w:ascii="宋体" w:hAnsi="宋体" w:eastAsia="宋体" w:cs="宋体"/>
          <w:color w:val="auto"/>
          <w:highlight w:val="none"/>
        </w:rPr>
        <w:t>在投标文件递交截止时间当日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建筑业企业投标资质动态监管结果不处于不合格状态。</w:t>
      </w:r>
      <w:r>
        <w:rPr>
          <w:rFonts w:hint="eastAsia" w:ascii="宋体" w:hAnsi="宋体" w:eastAsia="宋体" w:cs="宋体"/>
          <w:color w:val="auto"/>
          <w:highlight w:val="none"/>
          <w:lang w:val="en-US" w:eastAsia="zh-CN"/>
        </w:rPr>
        <w:t>若企业资质核查不合格，将主动放弃中标资格；</w:t>
      </w:r>
    </w:p>
    <w:p w14:paraId="1195EB59">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cs="宋体"/>
          <w:color w:val="auto"/>
          <w:sz w:val="24"/>
          <w:highlight w:val="none"/>
          <w:lang w:val="en-US" w:eastAsia="zh-CN"/>
        </w:rPr>
        <w:t>6、</w:t>
      </w:r>
      <w:r>
        <w:rPr>
          <w:rFonts w:hint="eastAsia" w:ascii="宋体" w:hAnsi="宋体" w:eastAsia="宋体" w:cs="宋体"/>
          <w:color w:val="auto"/>
          <w:sz w:val="24"/>
          <w:highlight w:val="none"/>
        </w:rPr>
        <w:t>我单位在本项目上不是以联合体身份参加竞争性磋商。</w:t>
      </w:r>
    </w:p>
    <w:p w14:paraId="0EF23DFE">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、本项目我单位中标后不分包或转包；</w:t>
      </w:r>
    </w:p>
    <w:p w14:paraId="69A3DB22">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、未在“信用中国”和“中国政府采购网”被列为失信被执行人。</w:t>
      </w:r>
    </w:p>
    <w:p w14:paraId="14050A97">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9、供应商/投标主体及其法定代表人、项目负责人未被列入“连云港市赣榆区行贿人联合惩戒信息库。”</w:t>
      </w:r>
    </w:p>
    <w:p w14:paraId="37EFA874">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、磋商全过程（含异议、投诉环节）出示的证明文件资料均是真实、有效的。</w:t>
      </w:r>
    </w:p>
    <w:p w14:paraId="0CB18632">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cs="宋体"/>
          <w:color w:val="auto"/>
          <w:sz w:val="24"/>
          <w:highlight w:val="none"/>
          <w:lang w:val="en-US" w:eastAsia="zh-CN"/>
        </w:rPr>
        <w:t>1、</w:t>
      </w:r>
      <w:r>
        <w:rPr>
          <w:rFonts w:hint="eastAsia" w:ascii="宋体" w:hAnsi="宋体" w:eastAsia="宋体" w:cs="宋体"/>
          <w:color w:val="auto"/>
          <w:sz w:val="24"/>
          <w:highlight w:val="none"/>
        </w:rPr>
        <w:t>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p>
    <w:p w14:paraId="666C3EE8">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综上，</w:t>
      </w:r>
      <w:r>
        <w:rPr>
          <w:rFonts w:hint="eastAsia" w:ascii="宋体" w:hAnsi="宋体" w:eastAsia="宋体" w:cs="宋体"/>
          <w:color w:val="auto"/>
          <w:sz w:val="24"/>
          <w:highlight w:val="none"/>
          <w:lang w:bidi="ar"/>
        </w:rPr>
        <w:t>我单位承诺如有虚假，愿意无条件接受被取消磋商或成交资格、磋商保证金不予退还、履约保证金不予退还、合同解除及清除出场，一切损失由我单位自行承担，同时愿意接受相关处罚，特此承诺！</w:t>
      </w:r>
    </w:p>
    <w:p w14:paraId="5D1D0537">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(盖章) </w:t>
      </w:r>
    </w:p>
    <w:p w14:paraId="563CBC7C">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法定代表人：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(签字或盖章) </w:t>
      </w:r>
    </w:p>
    <w:p w14:paraId="790AA008">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项目负责人：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 </w:t>
      </w:r>
    </w:p>
    <w:p w14:paraId="7467194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项目负责人证书编号：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1F61EB04">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0F692CAD">
      <w:pP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br w:type="page"/>
      </w:r>
    </w:p>
    <w:p w14:paraId="00099E09">
      <w:pPr>
        <w:jc w:val="center"/>
        <w:rPr>
          <w:rFonts w:hint="eastAsia" w:ascii="宋体" w:hAnsi="宋体" w:eastAsia="宋体" w:cs="宋体"/>
          <w:b/>
          <w:bCs/>
          <w:color w:val="auto"/>
          <w:sz w:val="28"/>
          <w:szCs w:val="28"/>
          <w:highlight w:val="none"/>
          <w:lang w:bidi="ar"/>
        </w:rPr>
      </w:pPr>
    </w:p>
    <w:p w14:paraId="30A11947">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5.5本项目中标后不允许分包或转包承诺书（格式）</w:t>
      </w:r>
    </w:p>
    <w:p w14:paraId="6CE63231">
      <w:pPr>
        <w:rPr>
          <w:rFonts w:hint="eastAsia" w:ascii="宋体" w:hAnsi="宋体" w:eastAsia="宋体" w:cs="宋体"/>
          <w:color w:val="auto"/>
          <w:sz w:val="28"/>
          <w:szCs w:val="28"/>
          <w:highlight w:val="none"/>
          <w:lang w:bidi="ar"/>
        </w:rPr>
      </w:pPr>
    </w:p>
    <w:p w14:paraId="23236168">
      <w:pP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致：</w:t>
      </w:r>
      <w:r>
        <w:rPr>
          <w:rFonts w:hint="eastAsia" w:ascii="宋体" w:hAnsi="宋体" w:eastAsia="宋体" w:cs="宋体"/>
          <w:color w:val="auto"/>
          <w:sz w:val="28"/>
          <w:szCs w:val="28"/>
          <w:highlight w:val="none"/>
          <w:u w:val="single"/>
          <w:lang w:bidi="ar"/>
        </w:rPr>
        <w:t xml:space="preserve">                </w:t>
      </w:r>
      <w:r>
        <w:rPr>
          <w:rFonts w:hint="eastAsia" w:ascii="宋体" w:hAnsi="宋体" w:eastAsia="宋体" w:cs="宋体"/>
          <w:color w:val="auto"/>
          <w:sz w:val="28"/>
          <w:szCs w:val="28"/>
          <w:highlight w:val="none"/>
          <w:lang w:bidi="ar"/>
        </w:rPr>
        <w:t xml:space="preserve"> </w:t>
      </w:r>
    </w:p>
    <w:p w14:paraId="16B69426">
      <w:pPr>
        <w:widowControl/>
        <w:spacing w:line="360" w:lineRule="auto"/>
        <w:ind w:firstLine="480"/>
        <w:jc w:val="left"/>
        <w:rPr>
          <w:rFonts w:hint="eastAsia" w:ascii="宋体" w:hAnsi="宋体" w:eastAsia="宋体" w:cs="宋体"/>
          <w:color w:val="auto"/>
          <w:sz w:val="24"/>
          <w:highlight w:val="none"/>
          <w:lang w:bidi="ar"/>
        </w:rPr>
      </w:pPr>
    </w:p>
    <w:p w14:paraId="4C05068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工程项目的投标工作，我单位郑重承诺：</w:t>
      </w:r>
    </w:p>
    <w:p w14:paraId="4FC6395F">
      <w:pPr>
        <w:widowControl/>
        <w:spacing w:line="360" w:lineRule="auto"/>
        <w:ind w:firstLine="480"/>
        <w:jc w:val="left"/>
        <w:rPr>
          <w:rFonts w:hint="eastAsia"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本项目中标后不分包或转包，我单位承诺如有虚假，愿意无条件接受被取消预审（合格）资格、投标或中标（候选人）资格、履约保证金不予退还、合同解除及清除出场，一切损失由我单位自行承担，同时愿意接受相关处罚，特此承诺！</w:t>
      </w:r>
    </w:p>
    <w:p w14:paraId="2D00FEFF">
      <w:pPr>
        <w:widowControl/>
        <w:spacing w:line="360" w:lineRule="auto"/>
        <w:jc w:val="left"/>
        <w:rPr>
          <w:rFonts w:hint="eastAsia" w:ascii="宋体" w:hAnsi="宋体" w:eastAsia="宋体" w:cs="宋体"/>
          <w:color w:val="auto"/>
          <w:sz w:val="24"/>
          <w:highlight w:val="none"/>
          <w:lang w:bidi="ar"/>
        </w:rPr>
      </w:pPr>
    </w:p>
    <w:p w14:paraId="42602AA4">
      <w:pPr>
        <w:widowControl/>
        <w:spacing w:line="360" w:lineRule="auto"/>
        <w:jc w:val="left"/>
        <w:rPr>
          <w:rFonts w:hint="eastAsia" w:ascii="宋体" w:hAnsi="宋体" w:eastAsia="宋体" w:cs="宋体"/>
          <w:color w:val="auto"/>
          <w:sz w:val="24"/>
          <w:highlight w:val="none"/>
          <w:lang w:bidi="ar"/>
        </w:rPr>
      </w:pPr>
    </w:p>
    <w:p w14:paraId="46AD3D4A">
      <w:pPr>
        <w:widowControl/>
        <w:spacing w:line="360" w:lineRule="auto"/>
        <w:jc w:val="left"/>
        <w:rPr>
          <w:rFonts w:hint="eastAsia" w:ascii="宋体" w:hAnsi="宋体" w:eastAsia="宋体" w:cs="宋体"/>
          <w:color w:val="auto"/>
          <w:sz w:val="24"/>
          <w:highlight w:val="none"/>
          <w:lang w:bidi="ar"/>
        </w:rPr>
      </w:pPr>
    </w:p>
    <w:p w14:paraId="50FC1BF0">
      <w:pPr>
        <w:widowControl/>
        <w:spacing w:line="48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1AA19AEA">
      <w:pPr>
        <w:widowControl/>
        <w:spacing w:line="48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655BC1CB">
      <w:pPr>
        <w:spacing w:line="480" w:lineRule="auto"/>
        <w:ind w:firstLine="72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16DE6325">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br w:type="page" w:clear="all"/>
      </w:r>
    </w:p>
    <w:p w14:paraId="04A2F773">
      <w:pPr>
        <w:spacing w:line="40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企业资质动态监管核查承诺书</w:t>
      </w:r>
    </w:p>
    <w:p w14:paraId="5CCD52D5">
      <w:pPr>
        <w:ind w:firstLine="0"/>
        <w:rPr>
          <w:rFonts w:hint="eastAsia" w:ascii="宋体" w:hAnsi="宋体" w:eastAsia="宋体" w:cs="宋体"/>
          <w:color w:val="auto"/>
          <w:highlight w:val="none"/>
          <w:u w:val="single"/>
        </w:rPr>
      </w:pPr>
    </w:p>
    <w:p w14:paraId="720E8D0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采购</w:t>
      </w:r>
      <w:r>
        <w:rPr>
          <w:rFonts w:hint="eastAsia" w:ascii="宋体" w:hAnsi="宋体" w:eastAsia="宋体" w:cs="宋体"/>
          <w:color w:val="auto"/>
          <w:sz w:val="24"/>
          <w:szCs w:val="24"/>
          <w:highlight w:val="none"/>
          <w:u w:val="single"/>
          <w:lang w:val="en-US" w:eastAsia="zh-CN"/>
        </w:rPr>
        <w:t>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9BEA7E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我公司参与贵单位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eastAsia="zh-CN"/>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项目的磋商，我公司郑重承诺：</w:t>
      </w:r>
    </w:p>
    <w:p w14:paraId="215D321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1、我公司在磋商期间企业资质动态监管核查结果为合格。</w:t>
      </w:r>
    </w:p>
    <w:p w14:paraId="7938406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2、我公司在磋商响应有效期内企业资质动态监管核查为合格；若磋商响应有效期内企业资质动态监管核查不合格，将主动放弃成交资格。</w:t>
      </w:r>
    </w:p>
    <w:p w14:paraId="5B30CB86">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3、我公司承诺的均是真实、有效的。</w:t>
      </w:r>
    </w:p>
    <w:p w14:paraId="486E3D9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综上，我公司承诺如有弄虚作假，违反规定参加磋商，将按有关法律法规和文件规定被取消磋商、成交资格，记录不良信用。一切损失由我公司自行承担，同时愿意接受相关处罚。</w:t>
      </w:r>
    </w:p>
    <w:p w14:paraId="6F33E38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431AE61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p>
    <w:p w14:paraId="66B028DD">
      <w:pPr>
        <w:keepNext w:val="0"/>
        <w:keepLines w:val="0"/>
        <w:pageBreakBefore w:val="0"/>
        <w:widowControl w:val="0"/>
        <w:spacing w:line="48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p>
    <w:p w14:paraId="44712CB8">
      <w:pPr>
        <w:keepNext w:val="0"/>
        <w:keepLines w:val="0"/>
        <w:pageBreakBefore w:val="0"/>
        <w:widowControl w:val="0"/>
        <w:spacing w:line="48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p>
    <w:p w14:paraId="098FDFC6">
      <w:pPr>
        <w:pStyle w:val="59"/>
        <w:ind w:firstLine="480"/>
        <w:rPr>
          <w:rFonts w:hint="eastAsia"/>
          <w:color w:val="auto"/>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p>
    <w:p w14:paraId="3D1959B3">
      <w:pPr>
        <w:pStyle w:val="59"/>
        <w:rPr>
          <w:rFonts w:hint="eastAsia" w:ascii="宋体" w:hAnsi="宋体" w:eastAsia="宋体" w:cs="宋体"/>
          <w:color w:val="auto"/>
          <w:highlight w:val="none"/>
        </w:rPr>
      </w:pPr>
    </w:p>
    <w:p w14:paraId="4B7C1F0A">
      <w:pPr>
        <w:widowControl/>
        <w:spacing w:line="360" w:lineRule="auto"/>
        <w:ind w:firstLine="440"/>
        <w:jc w:val="left"/>
        <w:rPr>
          <w:rFonts w:hint="eastAsia" w:ascii="宋体" w:hAnsi="宋体" w:eastAsia="宋体" w:cs="宋体"/>
          <w:color w:val="auto"/>
          <w:highlight w:val="none"/>
        </w:rPr>
      </w:pPr>
    </w:p>
    <w:p w14:paraId="6F14D7B1">
      <w:pPr>
        <w:pStyle w:val="60"/>
        <w:ind w:firstLine="0"/>
        <w:rPr>
          <w:rFonts w:hint="eastAsia" w:ascii="宋体" w:hAnsi="宋体" w:eastAsia="宋体" w:cs="宋体"/>
          <w:color w:val="auto"/>
          <w:highlight w:val="none"/>
        </w:rPr>
      </w:pPr>
    </w:p>
    <w:p w14:paraId="597B3B3F">
      <w:pPr>
        <w:rPr>
          <w:rFonts w:hint="eastAsia" w:ascii="宋体" w:hAnsi="宋体" w:eastAsia="宋体" w:cs="宋体"/>
          <w:color w:val="auto"/>
          <w:highlight w:val="none"/>
        </w:rPr>
      </w:pPr>
    </w:p>
    <w:p w14:paraId="3F870852">
      <w:pP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br w:type="page" w:clear="all"/>
      </w:r>
    </w:p>
    <w:p w14:paraId="33062A54">
      <w:pPr>
        <w:widowControl/>
        <w:spacing w:line="360" w:lineRule="auto"/>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六、法定代表人身份证明书(格式)</w:t>
      </w:r>
    </w:p>
    <w:p w14:paraId="274460CE">
      <w:pPr>
        <w:pStyle w:val="60"/>
        <w:ind w:firstLine="480"/>
        <w:rPr>
          <w:rFonts w:hint="eastAsia" w:ascii="宋体" w:hAnsi="宋体" w:eastAsia="宋体" w:cs="宋体"/>
          <w:color w:val="auto"/>
          <w:highlight w:val="none"/>
        </w:rPr>
      </w:pPr>
    </w:p>
    <w:p w14:paraId="7EB741F5">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磋商供应商名称：</w:t>
      </w:r>
      <w:r>
        <w:rPr>
          <w:rFonts w:hint="eastAsia" w:ascii="宋体" w:hAnsi="宋体" w:eastAsia="宋体" w:cs="宋体"/>
          <w:color w:val="auto"/>
          <w:sz w:val="24"/>
          <w:highlight w:val="none"/>
          <w:u w:val="single"/>
          <w:lang w:bidi="ar"/>
        </w:rPr>
        <w:t xml:space="preserve">                         </w:t>
      </w:r>
    </w:p>
    <w:p w14:paraId="0A623DEB">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单位性质： </w:t>
      </w:r>
      <w:r>
        <w:rPr>
          <w:rFonts w:hint="eastAsia" w:ascii="宋体" w:hAnsi="宋体" w:eastAsia="宋体" w:cs="宋体"/>
          <w:color w:val="auto"/>
          <w:sz w:val="24"/>
          <w:highlight w:val="none"/>
          <w:u w:val="single"/>
          <w:lang w:bidi="ar"/>
        </w:rPr>
        <w:t xml:space="preserve">                        </w:t>
      </w:r>
    </w:p>
    <w:p w14:paraId="379EE701">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地 址：</w:t>
      </w:r>
      <w:r>
        <w:rPr>
          <w:rFonts w:hint="eastAsia" w:ascii="宋体" w:hAnsi="宋体" w:eastAsia="宋体" w:cs="宋体"/>
          <w:color w:val="auto"/>
          <w:sz w:val="24"/>
          <w:highlight w:val="none"/>
          <w:u w:val="single"/>
          <w:lang w:bidi="ar"/>
        </w:rPr>
        <w:t xml:space="preserve">                        </w:t>
      </w:r>
    </w:p>
    <w:p w14:paraId="5AB54F84">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成立时间：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p>
    <w:p w14:paraId="7DE6BAA1">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经营期限：</w:t>
      </w:r>
      <w:r>
        <w:rPr>
          <w:rFonts w:hint="eastAsia" w:ascii="宋体" w:hAnsi="宋体" w:eastAsia="宋体" w:cs="宋体"/>
          <w:color w:val="auto"/>
          <w:sz w:val="24"/>
          <w:highlight w:val="none"/>
          <w:u w:val="single"/>
          <w:lang w:bidi="ar"/>
        </w:rPr>
        <w:t xml:space="preserve">                        </w:t>
      </w:r>
    </w:p>
    <w:p w14:paraId="158E448C">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姓 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性 别：</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2CF8743F">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年 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职 务：</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56D130A2">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系 </w:t>
      </w:r>
      <w:r>
        <w:rPr>
          <w:rFonts w:hint="eastAsia" w:ascii="宋体" w:hAnsi="宋体" w:eastAsia="宋体" w:cs="宋体"/>
          <w:color w:val="auto"/>
          <w:sz w:val="24"/>
          <w:highlight w:val="none"/>
          <w:u w:val="single"/>
          <w:lang w:bidi="ar"/>
        </w:rPr>
        <w:t xml:space="preserve">           (磋商供应商名称)           </w:t>
      </w:r>
      <w:r>
        <w:rPr>
          <w:rFonts w:hint="eastAsia" w:ascii="宋体" w:hAnsi="宋体" w:eastAsia="宋体" w:cs="宋体"/>
          <w:color w:val="auto"/>
          <w:sz w:val="24"/>
          <w:highlight w:val="none"/>
          <w:lang w:bidi="ar"/>
        </w:rPr>
        <w:t xml:space="preserve">的法定代表人。 </w:t>
      </w:r>
    </w:p>
    <w:p w14:paraId="156F6F46">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特此证明。 </w:t>
      </w:r>
    </w:p>
    <w:p w14:paraId="60430C6A">
      <w:pPr>
        <w:widowControl/>
        <w:spacing w:line="360" w:lineRule="auto"/>
        <w:ind w:firstLine="1920"/>
        <w:jc w:val="left"/>
        <w:rPr>
          <w:rFonts w:hint="eastAsia" w:ascii="宋体" w:hAnsi="宋体" w:eastAsia="宋体" w:cs="宋体"/>
          <w:color w:val="auto"/>
          <w:sz w:val="24"/>
          <w:highlight w:val="none"/>
          <w:lang w:bidi="ar"/>
        </w:rPr>
      </w:pPr>
    </w:p>
    <w:p w14:paraId="3FBD2761">
      <w:pPr>
        <w:widowControl/>
        <w:spacing w:line="360" w:lineRule="auto"/>
        <w:ind w:firstLine="1920"/>
        <w:jc w:val="left"/>
        <w:rPr>
          <w:rFonts w:hint="eastAsia" w:ascii="宋体" w:hAnsi="宋体" w:eastAsia="宋体" w:cs="宋体"/>
          <w:color w:val="auto"/>
          <w:sz w:val="24"/>
          <w:highlight w:val="none"/>
          <w:lang w:bidi="ar"/>
        </w:rPr>
      </w:pPr>
    </w:p>
    <w:p w14:paraId="3B256FC0">
      <w:pPr>
        <w:widowControl/>
        <w:spacing w:line="480" w:lineRule="auto"/>
        <w:ind w:firstLine="192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(盖单位章) </w:t>
      </w:r>
    </w:p>
    <w:p w14:paraId="6C149AB6">
      <w:pPr>
        <w:widowControl/>
        <w:spacing w:line="480" w:lineRule="auto"/>
        <w:ind w:firstLine="336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p>
    <w:p w14:paraId="104AEFD6">
      <w:pPr>
        <w:widowControl/>
        <w:spacing w:line="360" w:lineRule="auto"/>
        <w:ind w:firstLine="3360"/>
        <w:jc w:val="left"/>
        <w:rPr>
          <w:rFonts w:hint="eastAsia" w:ascii="宋体" w:hAnsi="宋体" w:eastAsia="宋体" w:cs="宋体"/>
          <w:color w:val="auto"/>
          <w:sz w:val="24"/>
          <w:highlight w:val="none"/>
          <w:lang w:bidi="ar"/>
        </w:rPr>
      </w:pPr>
    </w:p>
    <w:p w14:paraId="78388E3D">
      <w:pPr>
        <w:widowControl/>
        <w:spacing w:line="360" w:lineRule="auto"/>
        <w:ind w:firstLine="3360"/>
        <w:jc w:val="left"/>
        <w:rPr>
          <w:rFonts w:hint="eastAsia" w:ascii="宋体" w:hAnsi="宋体" w:eastAsia="宋体" w:cs="宋体"/>
          <w:color w:val="auto"/>
          <w:sz w:val="24"/>
          <w:highlight w:val="none"/>
          <w:lang w:bidi="ar"/>
        </w:rPr>
      </w:pPr>
    </w:p>
    <w:p w14:paraId="0B8F48B3">
      <w:pPr>
        <w:widowControl/>
        <w:spacing w:line="360" w:lineRule="auto"/>
        <w:ind w:firstLine="3360"/>
        <w:jc w:val="left"/>
        <w:rPr>
          <w:rFonts w:hint="eastAsia" w:ascii="宋体" w:hAnsi="宋体" w:eastAsia="宋体" w:cs="宋体"/>
          <w:color w:val="auto"/>
          <w:sz w:val="24"/>
          <w:highlight w:val="none"/>
          <w:lang w:bidi="ar"/>
        </w:rPr>
      </w:pPr>
    </w:p>
    <w:p w14:paraId="6FBA0452">
      <w:pPr>
        <w:widowControl/>
        <w:spacing w:line="360" w:lineRule="auto"/>
        <w:ind w:firstLine="3360"/>
        <w:jc w:val="left"/>
        <w:rPr>
          <w:rFonts w:hint="eastAsia" w:ascii="宋体" w:hAnsi="宋体" w:eastAsia="宋体" w:cs="宋体"/>
          <w:color w:val="auto"/>
          <w:sz w:val="24"/>
          <w:highlight w:val="none"/>
          <w:lang w:bidi="ar"/>
        </w:rPr>
      </w:pPr>
    </w:p>
    <w:p w14:paraId="1E86EDAD">
      <w:pPr>
        <w:widowControl/>
        <w:spacing w:line="360" w:lineRule="auto"/>
        <w:ind w:firstLine="3360"/>
        <w:jc w:val="left"/>
        <w:rPr>
          <w:rFonts w:hint="eastAsia" w:ascii="宋体" w:hAnsi="宋体" w:eastAsia="宋体" w:cs="宋体"/>
          <w:color w:val="auto"/>
          <w:sz w:val="24"/>
          <w:highlight w:val="none"/>
          <w:lang w:bidi="ar"/>
        </w:rPr>
      </w:pPr>
    </w:p>
    <w:p w14:paraId="35F309BA">
      <w:pPr>
        <w:widowControl/>
        <w:spacing w:line="360" w:lineRule="auto"/>
        <w:ind w:firstLine="3360"/>
        <w:jc w:val="left"/>
        <w:rPr>
          <w:rFonts w:hint="eastAsia" w:ascii="宋体" w:hAnsi="宋体" w:eastAsia="宋体" w:cs="宋体"/>
          <w:color w:val="auto"/>
          <w:sz w:val="24"/>
          <w:highlight w:val="none"/>
          <w:lang w:bidi="ar"/>
        </w:rPr>
      </w:pPr>
    </w:p>
    <w:p w14:paraId="06F95C1A">
      <w:pPr>
        <w:pStyle w:val="60"/>
        <w:ind w:firstLine="480"/>
        <w:rPr>
          <w:rFonts w:hint="eastAsia" w:ascii="宋体" w:hAnsi="宋体" w:eastAsia="宋体" w:cs="宋体"/>
          <w:color w:val="auto"/>
          <w:szCs w:val="24"/>
          <w:highlight w:val="none"/>
          <w:lang w:bidi="ar"/>
        </w:rPr>
      </w:pPr>
    </w:p>
    <w:p w14:paraId="4E1511B8">
      <w:pPr>
        <w:rPr>
          <w:rFonts w:hint="eastAsia" w:ascii="宋体" w:hAnsi="宋体" w:eastAsia="宋体" w:cs="宋体"/>
          <w:color w:val="auto"/>
          <w:sz w:val="24"/>
          <w:highlight w:val="none"/>
          <w:lang w:bidi="ar"/>
        </w:rPr>
      </w:pPr>
    </w:p>
    <w:p w14:paraId="422A643B">
      <w:pPr>
        <w:pStyle w:val="60"/>
        <w:ind w:firstLine="480"/>
        <w:rPr>
          <w:rFonts w:hint="eastAsia" w:ascii="宋体" w:hAnsi="宋体" w:eastAsia="宋体" w:cs="宋体"/>
          <w:color w:val="auto"/>
          <w:szCs w:val="24"/>
          <w:highlight w:val="none"/>
          <w:lang w:bidi="ar"/>
        </w:rPr>
      </w:pPr>
    </w:p>
    <w:p w14:paraId="494CA8EF">
      <w:pPr>
        <w:rPr>
          <w:rFonts w:hint="eastAsia" w:ascii="宋体" w:hAnsi="宋体" w:eastAsia="宋体" w:cs="宋体"/>
          <w:color w:val="auto"/>
          <w:sz w:val="24"/>
          <w:highlight w:val="none"/>
          <w:lang w:bidi="ar"/>
        </w:rPr>
      </w:pPr>
    </w:p>
    <w:p w14:paraId="289DCDAC">
      <w:pPr>
        <w:pStyle w:val="60"/>
        <w:ind w:firstLine="480"/>
        <w:rPr>
          <w:rFonts w:hint="eastAsia" w:ascii="宋体" w:hAnsi="宋体" w:eastAsia="宋体" w:cs="宋体"/>
          <w:color w:val="auto"/>
          <w:szCs w:val="24"/>
          <w:highlight w:val="none"/>
          <w:lang w:bidi="ar"/>
        </w:rPr>
      </w:pPr>
    </w:p>
    <w:p w14:paraId="06CD2F8D">
      <w:pPr>
        <w:rPr>
          <w:rFonts w:hint="eastAsia" w:ascii="宋体" w:hAnsi="宋体" w:eastAsia="宋体" w:cs="宋体"/>
          <w:color w:val="auto"/>
          <w:highlight w:val="none"/>
        </w:rPr>
      </w:pPr>
    </w:p>
    <w:p w14:paraId="4A5BB9B2">
      <w:pPr>
        <w:pStyle w:val="60"/>
        <w:ind w:firstLine="480"/>
        <w:rPr>
          <w:rFonts w:hint="eastAsia" w:ascii="宋体" w:hAnsi="宋体" w:eastAsia="宋体" w:cs="宋体"/>
          <w:color w:val="auto"/>
          <w:szCs w:val="24"/>
          <w:highlight w:val="none"/>
          <w:lang w:bidi="ar"/>
        </w:rPr>
      </w:pPr>
    </w:p>
    <w:p w14:paraId="65E6FB55">
      <w:pPr>
        <w:rPr>
          <w:rFonts w:hint="eastAsia" w:ascii="宋体" w:hAnsi="宋体" w:eastAsia="宋体" w:cs="宋体"/>
          <w:color w:val="auto"/>
          <w:szCs w:val="24"/>
          <w:highlight w:val="none"/>
          <w:lang w:bidi="ar"/>
        </w:rPr>
      </w:pPr>
    </w:p>
    <w:p w14:paraId="34E814F6">
      <w:pPr>
        <w:pStyle w:val="16"/>
        <w:rPr>
          <w:rFonts w:hint="eastAsia" w:ascii="宋体" w:hAnsi="宋体" w:eastAsia="宋体" w:cs="宋体"/>
          <w:color w:val="auto"/>
          <w:szCs w:val="24"/>
          <w:highlight w:val="none"/>
          <w:lang w:bidi="ar"/>
        </w:rPr>
      </w:pPr>
    </w:p>
    <w:p w14:paraId="2208A1AC">
      <w:pPr>
        <w:rPr>
          <w:rFonts w:hint="eastAsia" w:ascii="宋体" w:hAnsi="宋体" w:eastAsia="宋体" w:cs="宋体"/>
          <w:color w:val="auto"/>
          <w:szCs w:val="24"/>
          <w:highlight w:val="none"/>
          <w:lang w:bidi="ar"/>
        </w:rPr>
      </w:pPr>
    </w:p>
    <w:p w14:paraId="0A6B5F8A">
      <w:pPr>
        <w:pStyle w:val="16"/>
        <w:rPr>
          <w:rFonts w:hint="eastAsia" w:ascii="宋体" w:hAnsi="宋体" w:eastAsia="宋体" w:cs="宋体"/>
          <w:color w:val="auto"/>
          <w:szCs w:val="24"/>
          <w:highlight w:val="none"/>
          <w:lang w:bidi="ar"/>
        </w:rPr>
      </w:pPr>
    </w:p>
    <w:p w14:paraId="38AD51ED">
      <w:pPr>
        <w:rPr>
          <w:rFonts w:hint="eastAsia" w:ascii="宋体" w:hAnsi="宋体" w:eastAsia="宋体" w:cs="宋体"/>
          <w:color w:val="auto"/>
          <w:szCs w:val="24"/>
          <w:highlight w:val="none"/>
          <w:lang w:bidi="ar"/>
        </w:rPr>
      </w:pPr>
    </w:p>
    <w:p w14:paraId="0E03939B">
      <w:pPr>
        <w:pStyle w:val="16"/>
        <w:rPr>
          <w:rFonts w:hint="eastAsia" w:ascii="宋体" w:hAnsi="宋体" w:eastAsia="宋体" w:cs="宋体"/>
          <w:color w:val="auto"/>
          <w:szCs w:val="24"/>
          <w:highlight w:val="none"/>
          <w:lang w:bidi="ar"/>
        </w:rPr>
      </w:pPr>
    </w:p>
    <w:p w14:paraId="326F2EF3">
      <w:pPr>
        <w:pStyle w:val="60"/>
        <w:ind w:firstLine="480"/>
        <w:rPr>
          <w:rFonts w:hint="eastAsia" w:ascii="宋体" w:hAnsi="宋体" w:eastAsia="宋体" w:cs="宋体"/>
          <w:color w:val="auto"/>
          <w:szCs w:val="24"/>
          <w:highlight w:val="none"/>
          <w:lang w:bidi="ar"/>
        </w:rPr>
      </w:pPr>
    </w:p>
    <w:p w14:paraId="0E8EBCCC">
      <w:pPr>
        <w:widowControl/>
        <w:spacing w:line="360" w:lineRule="auto"/>
        <w:ind w:firstLine="620"/>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授权委托书(格式)</w:t>
      </w:r>
    </w:p>
    <w:p w14:paraId="2DEE77A6">
      <w:pPr>
        <w:widowControl/>
        <w:spacing w:line="360" w:lineRule="auto"/>
        <w:ind w:firstLine="480"/>
        <w:jc w:val="left"/>
        <w:rPr>
          <w:rFonts w:hint="eastAsia" w:ascii="宋体" w:hAnsi="宋体" w:eastAsia="宋体" w:cs="宋体"/>
          <w:color w:val="auto"/>
          <w:sz w:val="24"/>
          <w:highlight w:val="none"/>
          <w:lang w:bidi="ar"/>
        </w:rPr>
      </w:pPr>
    </w:p>
    <w:p w14:paraId="69A130AF">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（姓名）为我方代理人。代理人根据授权，以我方名义签署、澄清、说明、补正、递交、撤回、修改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（项目名称）项目投标文件、签订合同和处理有关事宜，其法律后果由我方承担。</w:t>
      </w:r>
    </w:p>
    <w:p w14:paraId="29FEA38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委托期限：</w:t>
      </w:r>
      <w:r>
        <w:rPr>
          <w:rFonts w:hint="eastAsia" w:ascii="宋体" w:hAnsi="宋体" w:eastAsia="宋体" w:cs="宋体"/>
          <w:color w:val="auto"/>
          <w:sz w:val="24"/>
          <w:highlight w:val="none"/>
          <w:u w:val="single"/>
        </w:rPr>
        <w:t xml:space="preserve">     同投标有效期    </w:t>
      </w:r>
      <w:r>
        <w:rPr>
          <w:rFonts w:hint="eastAsia" w:ascii="宋体" w:hAnsi="宋体" w:eastAsia="宋体" w:cs="宋体"/>
          <w:color w:val="auto"/>
          <w:sz w:val="24"/>
          <w:highlight w:val="none"/>
        </w:rPr>
        <w:t xml:space="preserve"> 。</w:t>
      </w:r>
    </w:p>
    <w:p w14:paraId="5ACD710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代理人无转委托权。</w:t>
      </w:r>
    </w:p>
    <w:p w14:paraId="71BE6B6D">
      <w:pPr>
        <w:spacing w:line="360" w:lineRule="auto"/>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附：</w:t>
      </w:r>
      <w:r>
        <w:rPr>
          <w:rFonts w:hint="eastAsia" w:ascii="宋体" w:hAnsi="宋体" w:eastAsia="宋体" w:cs="宋体"/>
          <w:b/>
          <w:bCs/>
          <w:color w:val="auto"/>
          <w:sz w:val="24"/>
          <w:highlight w:val="none"/>
        </w:rPr>
        <w:t>法定代表人和委托代理人身份证</w:t>
      </w:r>
      <w:r>
        <w:rPr>
          <w:rFonts w:hint="eastAsia" w:cs="宋体"/>
          <w:b/>
          <w:bCs/>
          <w:color w:val="auto"/>
          <w:sz w:val="24"/>
          <w:highlight w:val="none"/>
          <w:lang w:val="en-US" w:eastAsia="zh-CN"/>
        </w:rPr>
        <w:t>原件</w:t>
      </w:r>
      <w:r>
        <w:rPr>
          <w:rFonts w:hint="eastAsia" w:ascii="宋体" w:hAnsi="宋体" w:eastAsia="宋体" w:cs="宋体"/>
          <w:b/>
          <w:bCs/>
          <w:color w:val="auto"/>
          <w:sz w:val="24"/>
          <w:highlight w:val="none"/>
          <w:lang w:val="en-US" w:eastAsia="zh-CN"/>
        </w:rPr>
        <w:t>扫描件</w:t>
      </w:r>
    </w:p>
    <w:p w14:paraId="2DF2182D">
      <w:pPr>
        <w:spacing w:line="360" w:lineRule="auto"/>
        <w:ind w:firstLine="480"/>
        <w:jc w:val="left"/>
        <w:rPr>
          <w:rFonts w:hint="eastAsia" w:ascii="宋体" w:hAnsi="宋体" w:eastAsia="宋体" w:cs="宋体"/>
          <w:color w:val="auto"/>
          <w:sz w:val="24"/>
          <w:highlight w:val="none"/>
        </w:rPr>
      </w:pPr>
    </w:p>
    <w:p w14:paraId="0EA97953">
      <w:pPr>
        <w:spacing w:line="48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23B771F3">
      <w:pPr>
        <w:spacing w:line="48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280720EB">
      <w:pPr>
        <w:spacing w:line="48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33F5E255">
      <w:pPr>
        <w:spacing w:line="48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4C803324">
      <w:pPr>
        <w:spacing w:line="48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1589DF90">
      <w:pPr>
        <w:widowControl/>
        <w:spacing w:line="48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6865A1FB">
      <w:pPr>
        <w:widowControl/>
        <w:spacing w:line="480" w:lineRule="auto"/>
        <w:ind w:firstLine="480"/>
        <w:jc w:val="left"/>
        <w:rPr>
          <w:rFonts w:hint="eastAsia" w:ascii="宋体" w:hAnsi="宋体" w:eastAsia="宋体" w:cs="宋体"/>
          <w:color w:val="auto"/>
          <w:sz w:val="24"/>
          <w:highlight w:val="none"/>
          <w:lang w:bidi="ar"/>
        </w:rPr>
      </w:pPr>
    </w:p>
    <w:p w14:paraId="04CAAC6D">
      <w:pPr>
        <w:widowControl/>
        <w:spacing w:line="480" w:lineRule="auto"/>
        <w:ind w:firstLine="480"/>
        <w:jc w:val="left"/>
        <w:rPr>
          <w:rFonts w:hint="eastAsia" w:ascii="宋体" w:hAnsi="宋体" w:eastAsia="宋体" w:cs="宋体"/>
          <w:color w:val="auto"/>
          <w:sz w:val="24"/>
          <w:highlight w:val="none"/>
          <w:lang w:bidi="ar"/>
        </w:rPr>
      </w:pPr>
    </w:p>
    <w:p w14:paraId="0B4539F4">
      <w:pPr>
        <w:widowControl/>
        <w:spacing w:line="480" w:lineRule="auto"/>
        <w:ind w:firstLine="480"/>
        <w:jc w:val="left"/>
        <w:rPr>
          <w:rFonts w:hint="eastAsia" w:ascii="宋体" w:hAnsi="宋体" w:eastAsia="宋体" w:cs="宋体"/>
          <w:color w:val="auto"/>
          <w:sz w:val="24"/>
          <w:highlight w:val="none"/>
          <w:lang w:bidi="ar"/>
        </w:rPr>
      </w:pPr>
    </w:p>
    <w:p w14:paraId="214A1405">
      <w:pPr>
        <w:widowControl/>
        <w:spacing w:line="480" w:lineRule="auto"/>
        <w:ind w:firstLine="480"/>
        <w:jc w:val="left"/>
        <w:rPr>
          <w:rFonts w:hint="eastAsia" w:ascii="宋体" w:hAnsi="宋体" w:eastAsia="宋体" w:cs="宋体"/>
          <w:color w:val="auto"/>
          <w:sz w:val="24"/>
          <w:highlight w:val="none"/>
          <w:lang w:bidi="ar"/>
        </w:rPr>
      </w:pPr>
    </w:p>
    <w:p w14:paraId="4DEDB646">
      <w:pPr>
        <w:widowControl/>
        <w:spacing w:line="480" w:lineRule="auto"/>
        <w:ind w:firstLine="480"/>
        <w:jc w:val="left"/>
        <w:rPr>
          <w:rFonts w:hint="eastAsia" w:ascii="宋体" w:hAnsi="宋体" w:eastAsia="宋体" w:cs="宋体"/>
          <w:color w:val="auto"/>
          <w:sz w:val="24"/>
          <w:highlight w:val="none"/>
          <w:lang w:bidi="ar"/>
        </w:rPr>
      </w:pPr>
    </w:p>
    <w:p w14:paraId="32889132">
      <w:pPr>
        <w:widowControl/>
        <w:spacing w:line="480" w:lineRule="auto"/>
        <w:ind w:firstLine="480"/>
        <w:jc w:val="left"/>
        <w:rPr>
          <w:rFonts w:hint="eastAsia" w:ascii="宋体" w:hAnsi="宋体" w:eastAsia="宋体" w:cs="宋体"/>
          <w:color w:val="auto"/>
          <w:sz w:val="24"/>
          <w:highlight w:val="none"/>
          <w:lang w:bidi="ar"/>
        </w:rPr>
      </w:pPr>
    </w:p>
    <w:p w14:paraId="6175DB6D">
      <w:pPr>
        <w:widowControl/>
        <w:spacing w:line="480" w:lineRule="auto"/>
        <w:ind w:firstLine="480"/>
        <w:jc w:val="left"/>
        <w:rPr>
          <w:rFonts w:hint="eastAsia" w:ascii="宋体" w:hAnsi="宋体" w:eastAsia="宋体" w:cs="宋体"/>
          <w:color w:val="auto"/>
          <w:sz w:val="24"/>
          <w:highlight w:val="none"/>
          <w:lang w:bidi="ar"/>
        </w:rPr>
      </w:pPr>
    </w:p>
    <w:p w14:paraId="47CDC98D">
      <w:pPr>
        <w:widowControl/>
        <w:spacing w:line="480" w:lineRule="auto"/>
        <w:ind w:firstLine="480"/>
        <w:jc w:val="left"/>
        <w:rPr>
          <w:rFonts w:hint="eastAsia" w:ascii="宋体" w:hAnsi="宋体" w:eastAsia="宋体" w:cs="宋体"/>
          <w:color w:val="auto"/>
          <w:sz w:val="24"/>
          <w:highlight w:val="none"/>
          <w:lang w:bidi="ar"/>
        </w:rPr>
      </w:pPr>
    </w:p>
    <w:p w14:paraId="1AE6F45A">
      <w:pPr>
        <w:widowControl/>
        <w:spacing w:line="480" w:lineRule="auto"/>
        <w:ind w:firstLine="480"/>
        <w:jc w:val="left"/>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八、商务条款偏离表</w:t>
      </w:r>
    </w:p>
    <w:p w14:paraId="5FB39B79">
      <w:pPr>
        <w:pStyle w:val="60"/>
        <w:ind w:firstLine="480"/>
        <w:rPr>
          <w:rFonts w:hint="eastAsia" w:ascii="宋体" w:hAnsi="宋体" w:eastAsia="宋体" w:cs="宋体"/>
          <w:color w:val="auto"/>
          <w:highlight w:val="none"/>
        </w:rPr>
      </w:pPr>
    </w:p>
    <w:p w14:paraId="3C482AA2">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cs="宋体"/>
          <w:color w:val="auto"/>
          <w:highlight w:val="none"/>
          <w:lang w:val="en-US" w:eastAsia="zh-CN"/>
        </w:rPr>
        <w:t xml:space="preserve">  </w:t>
      </w:r>
      <w:r>
        <w:rPr>
          <w:rFonts w:hint="eastAsia" w:ascii="宋体" w:hAnsi="宋体" w:eastAsia="宋体" w:cs="宋体"/>
          <w:color w:val="auto"/>
          <w:highlight w:val="none"/>
        </w:rPr>
        <w:t>说明：供应商必须仔细阅读响应文件中项目需求的主要要求，并对所有偏离的条目列入下表。供应商必须根据所投实际情况如实填写，评委会如发现有虚假描述的，该投标文件视为无效。</w:t>
      </w:r>
    </w:p>
    <w:tbl>
      <w:tblPr>
        <w:tblStyle w:val="42"/>
        <w:tblpPr w:leftFromText="180" w:rightFromText="180" w:vertAnchor="text" w:horzAnchor="page" w:tblpX="1838" w:tblpY="29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111"/>
        <w:gridCol w:w="3012"/>
        <w:gridCol w:w="2047"/>
      </w:tblGrid>
      <w:tr w14:paraId="387F6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vAlign w:val="center"/>
          </w:tcPr>
          <w:p w14:paraId="2F135C55">
            <w:pPr>
              <w:spacing w:after="156" w:line="360" w:lineRule="auto"/>
              <w:jc w:val="center"/>
              <w:rPr>
                <w:rFonts w:hint="eastAsia" w:ascii="宋体" w:hAnsi="宋体" w:eastAsia="宋体" w:cs="宋体"/>
                <w:color w:val="auto"/>
                <w:highlight w:val="none"/>
              </w:rPr>
            </w:pPr>
          </w:p>
          <w:p w14:paraId="4A34D7AC">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111" w:type="dxa"/>
            <w:noWrap w:val="0"/>
            <w:vAlign w:val="center"/>
          </w:tcPr>
          <w:p w14:paraId="117C88F4">
            <w:pPr>
              <w:spacing w:after="156" w:line="360" w:lineRule="auto"/>
              <w:jc w:val="center"/>
              <w:rPr>
                <w:rFonts w:hint="eastAsia" w:ascii="宋体" w:hAnsi="宋体" w:eastAsia="宋体" w:cs="宋体"/>
                <w:color w:val="auto"/>
                <w:highlight w:val="none"/>
              </w:rPr>
            </w:pPr>
          </w:p>
          <w:p w14:paraId="6E75C9AB">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原项目需求主要条款描述</w:t>
            </w:r>
          </w:p>
        </w:tc>
        <w:tc>
          <w:tcPr>
            <w:tcW w:w="3012" w:type="dxa"/>
            <w:noWrap w:val="0"/>
            <w:vAlign w:val="center"/>
          </w:tcPr>
          <w:p w14:paraId="736079FE">
            <w:pPr>
              <w:spacing w:after="156" w:line="360" w:lineRule="auto"/>
              <w:jc w:val="center"/>
              <w:rPr>
                <w:rFonts w:hint="eastAsia" w:ascii="宋体" w:hAnsi="宋体" w:eastAsia="宋体" w:cs="宋体"/>
                <w:color w:val="auto"/>
                <w:highlight w:val="none"/>
              </w:rPr>
            </w:pPr>
          </w:p>
          <w:p w14:paraId="584A31EB">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投标人响应情况描述</w:t>
            </w:r>
          </w:p>
        </w:tc>
        <w:tc>
          <w:tcPr>
            <w:tcW w:w="2047" w:type="dxa"/>
            <w:noWrap w:val="0"/>
            <w:vAlign w:val="center"/>
          </w:tcPr>
          <w:p w14:paraId="2643D480">
            <w:pPr>
              <w:spacing w:after="156" w:line="360" w:lineRule="auto"/>
              <w:jc w:val="center"/>
              <w:rPr>
                <w:rFonts w:hint="eastAsia" w:ascii="宋体" w:hAnsi="宋体" w:eastAsia="宋体" w:cs="宋体"/>
                <w:color w:val="auto"/>
                <w:highlight w:val="none"/>
              </w:rPr>
            </w:pPr>
          </w:p>
          <w:p w14:paraId="6E240762">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偏离情况</w:t>
            </w:r>
          </w:p>
        </w:tc>
      </w:tr>
      <w:tr w14:paraId="626F0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25" w:type="dxa"/>
            <w:noWrap w:val="0"/>
          </w:tcPr>
          <w:p w14:paraId="2D873718">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111" w:type="dxa"/>
            <w:noWrap w:val="0"/>
          </w:tcPr>
          <w:p w14:paraId="748FDA1C">
            <w:pPr>
              <w:spacing w:after="156" w:line="360" w:lineRule="auto"/>
              <w:rPr>
                <w:rFonts w:hint="eastAsia" w:ascii="宋体" w:hAnsi="宋体" w:eastAsia="宋体" w:cs="宋体"/>
                <w:color w:val="auto"/>
                <w:highlight w:val="none"/>
              </w:rPr>
            </w:pPr>
          </w:p>
          <w:p w14:paraId="446D9698">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具体要求见第四章“项目需求”中内容，请自填明细</w:t>
            </w:r>
          </w:p>
        </w:tc>
        <w:tc>
          <w:tcPr>
            <w:tcW w:w="3012" w:type="dxa"/>
            <w:noWrap w:val="0"/>
          </w:tcPr>
          <w:p w14:paraId="589DBF5A">
            <w:pPr>
              <w:spacing w:after="156" w:line="360" w:lineRule="auto"/>
              <w:rPr>
                <w:rFonts w:hint="eastAsia" w:ascii="宋体" w:hAnsi="宋体" w:eastAsia="宋体" w:cs="宋体"/>
                <w:color w:val="auto"/>
                <w:highlight w:val="none"/>
              </w:rPr>
            </w:pPr>
          </w:p>
          <w:p w14:paraId="0B3117F8">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请自填响应情况</w:t>
            </w:r>
          </w:p>
        </w:tc>
        <w:tc>
          <w:tcPr>
            <w:tcW w:w="2047" w:type="dxa"/>
            <w:noWrap w:val="0"/>
          </w:tcPr>
          <w:p w14:paraId="013C6EF9">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44748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tcPr>
          <w:p w14:paraId="65039905">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111" w:type="dxa"/>
            <w:noWrap w:val="0"/>
          </w:tcPr>
          <w:p w14:paraId="49F2C0BF">
            <w:pPr>
              <w:spacing w:after="156" w:line="360" w:lineRule="auto"/>
              <w:rPr>
                <w:rFonts w:hint="eastAsia" w:ascii="宋体" w:hAnsi="宋体" w:eastAsia="宋体" w:cs="宋体"/>
                <w:color w:val="auto"/>
                <w:highlight w:val="none"/>
              </w:rPr>
            </w:pPr>
          </w:p>
        </w:tc>
        <w:tc>
          <w:tcPr>
            <w:tcW w:w="3012" w:type="dxa"/>
            <w:noWrap w:val="0"/>
          </w:tcPr>
          <w:p w14:paraId="0E668F54">
            <w:pPr>
              <w:spacing w:after="156" w:line="360" w:lineRule="auto"/>
              <w:rPr>
                <w:rFonts w:hint="eastAsia" w:ascii="宋体" w:hAnsi="宋体" w:eastAsia="宋体" w:cs="宋体"/>
                <w:color w:val="auto"/>
                <w:highlight w:val="none"/>
              </w:rPr>
            </w:pPr>
          </w:p>
        </w:tc>
        <w:tc>
          <w:tcPr>
            <w:tcW w:w="2047" w:type="dxa"/>
            <w:noWrap w:val="0"/>
          </w:tcPr>
          <w:p w14:paraId="32448521">
            <w:pPr>
              <w:spacing w:after="156" w:line="360" w:lineRule="auto"/>
              <w:rPr>
                <w:rFonts w:hint="eastAsia" w:ascii="宋体" w:hAnsi="宋体" w:eastAsia="宋体" w:cs="宋体"/>
                <w:color w:val="auto"/>
                <w:highlight w:val="none"/>
              </w:rPr>
            </w:pPr>
          </w:p>
        </w:tc>
      </w:tr>
      <w:tr w14:paraId="5A99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trPr>
        <w:tc>
          <w:tcPr>
            <w:tcW w:w="825" w:type="dxa"/>
            <w:noWrap w:val="0"/>
          </w:tcPr>
          <w:p w14:paraId="68A31768">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111" w:type="dxa"/>
            <w:noWrap w:val="0"/>
          </w:tcPr>
          <w:p w14:paraId="2B7E8FEE">
            <w:pPr>
              <w:spacing w:after="156" w:line="360" w:lineRule="auto"/>
              <w:rPr>
                <w:rFonts w:hint="eastAsia" w:ascii="宋体" w:hAnsi="宋体" w:eastAsia="宋体" w:cs="宋体"/>
                <w:color w:val="auto"/>
                <w:highlight w:val="none"/>
              </w:rPr>
            </w:pPr>
          </w:p>
        </w:tc>
        <w:tc>
          <w:tcPr>
            <w:tcW w:w="3012" w:type="dxa"/>
            <w:noWrap w:val="0"/>
          </w:tcPr>
          <w:p w14:paraId="193156CB">
            <w:pPr>
              <w:spacing w:after="156" w:line="360" w:lineRule="auto"/>
              <w:rPr>
                <w:rFonts w:hint="eastAsia" w:ascii="宋体" w:hAnsi="宋体" w:eastAsia="宋体" w:cs="宋体"/>
                <w:color w:val="auto"/>
                <w:highlight w:val="none"/>
              </w:rPr>
            </w:pPr>
          </w:p>
        </w:tc>
        <w:tc>
          <w:tcPr>
            <w:tcW w:w="2047" w:type="dxa"/>
            <w:noWrap w:val="0"/>
          </w:tcPr>
          <w:p w14:paraId="3F33352D">
            <w:pPr>
              <w:spacing w:after="156" w:line="360" w:lineRule="auto"/>
              <w:rPr>
                <w:rFonts w:hint="eastAsia" w:ascii="宋体" w:hAnsi="宋体" w:eastAsia="宋体" w:cs="宋体"/>
                <w:color w:val="auto"/>
                <w:highlight w:val="none"/>
              </w:rPr>
            </w:pPr>
          </w:p>
        </w:tc>
      </w:tr>
    </w:tbl>
    <w:p w14:paraId="0C40700C">
      <w:pPr>
        <w:rPr>
          <w:rFonts w:hint="eastAsia" w:ascii="宋体" w:hAnsi="宋体" w:eastAsia="宋体" w:cs="宋体"/>
          <w:b/>
          <w:bCs/>
          <w:color w:val="auto"/>
          <w:sz w:val="30"/>
          <w:szCs w:val="30"/>
          <w:highlight w:val="none"/>
          <w:lang w:bidi="ar"/>
        </w:rPr>
      </w:pPr>
    </w:p>
    <w:p w14:paraId="26EEE3F6">
      <w:pPr>
        <w:pStyle w:val="60"/>
        <w:spacing w:line="480" w:lineRule="auto"/>
        <w:ind w:firstLine="480"/>
        <w:rPr>
          <w:rFonts w:hint="eastAsia" w:ascii="宋体" w:hAnsi="宋体" w:eastAsia="宋体" w:cs="宋体"/>
          <w:color w:val="auto"/>
          <w:sz w:val="22"/>
          <w:szCs w:val="22"/>
          <w:highlight w:val="none"/>
          <w:lang w:bidi="ar"/>
        </w:rPr>
      </w:pPr>
    </w:p>
    <w:p w14:paraId="3AA5CB1B">
      <w:pPr>
        <w:rPr>
          <w:rFonts w:hint="eastAsia" w:ascii="宋体" w:hAnsi="宋体" w:eastAsia="宋体" w:cs="宋体"/>
          <w:color w:val="auto"/>
          <w:sz w:val="22"/>
          <w:szCs w:val="22"/>
          <w:highlight w:val="none"/>
          <w:lang w:bidi="ar"/>
        </w:rPr>
      </w:pPr>
    </w:p>
    <w:p w14:paraId="75E22EDC">
      <w:pPr>
        <w:pStyle w:val="2"/>
        <w:rPr>
          <w:rFonts w:hint="eastAsia" w:ascii="宋体" w:hAnsi="宋体" w:eastAsia="宋体" w:cs="宋体"/>
          <w:color w:val="auto"/>
          <w:sz w:val="22"/>
          <w:szCs w:val="22"/>
          <w:highlight w:val="none"/>
          <w:lang w:bidi="ar"/>
        </w:rPr>
      </w:pPr>
    </w:p>
    <w:p w14:paraId="63E89F25">
      <w:pPr>
        <w:rPr>
          <w:rFonts w:hint="eastAsia" w:ascii="宋体" w:hAnsi="宋体" w:eastAsia="宋体" w:cs="宋体"/>
          <w:color w:val="auto"/>
          <w:sz w:val="22"/>
          <w:szCs w:val="22"/>
          <w:highlight w:val="none"/>
          <w:lang w:bidi="ar"/>
        </w:rPr>
      </w:pPr>
    </w:p>
    <w:p w14:paraId="0C7CE1A2">
      <w:pPr>
        <w:pStyle w:val="2"/>
        <w:rPr>
          <w:rFonts w:hint="eastAsia" w:ascii="宋体" w:hAnsi="宋体" w:eastAsia="宋体" w:cs="宋体"/>
          <w:color w:val="auto"/>
          <w:sz w:val="22"/>
          <w:szCs w:val="22"/>
          <w:highlight w:val="none"/>
          <w:lang w:bidi="ar"/>
        </w:rPr>
      </w:pPr>
    </w:p>
    <w:p w14:paraId="4DA07CBD">
      <w:pPr>
        <w:rPr>
          <w:rFonts w:hint="eastAsia" w:ascii="宋体" w:hAnsi="宋体" w:eastAsia="宋体" w:cs="宋体"/>
          <w:color w:val="auto"/>
          <w:sz w:val="22"/>
          <w:szCs w:val="22"/>
          <w:highlight w:val="none"/>
          <w:lang w:bidi="ar"/>
        </w:rPr>
      </w:pPr>
    </w:p>
    <w:p w14:paraId="55B484AC">
      <w:pPr>
        <w:pStyle w:val="2"/>
        <w:rPr>
          <w:rFonts w:hint="eastAsia" w:ascii="宋体" w:hAnsi="宋体" w:eastAsia="宋体" w:cs="宋体"/>
          <w:color w:val="auto"/>
          <w:sz w:val="22"/>
          <w:szCs w:val="22"/>
          <w:highlight w:val="none"/>
          <w:lang w:bidi="ar"/>
        </w:rPr>
      </w:pPr>
    </w:p>
    <w:p w14:paraId="3655FC95">
      <w:pPr>
        <w:rPr>
          <w:rFonts w:hint="eastAsia" w:ascii="宋体" w:hAnsi="宋体" w:eastAsia="宋体" w:cs="宋体"/>
          <w:color w:val="auto"/>
          <w:sz w:val="22"/>
          <w:szCs w:val="22"/>
          <w:highlight w:val="none"/>
          <w:lang w:bidi="ar"/>
        </w:rPr>
      </w:pPr>
    </w:p>
    <w:p w14:paraId="7084607F">
      <w:pPr>
        <w:pStyle w:val="2"/>
        <w:rPr>
          <w:rFonts w:hint="eastAsia" w:ascii="宋体" w:hAnsi="宋体" w:eastAsia="宋体" w:cs="宋体"/>
          <w:color w:val="auto"/>
          <w:sz w:val="22"/>
          <w:szCs w:val="22"/>
          <w:highlight w:val="none"/>
          <w:lang w:bidi="ar"/>
        </w:rPr>
      </w:pPr>
    </w:p>
    <w:p w14:paraId="1410FFD0">
      <w:pPr>
        <w:rPr>
          <w:rFonts w:hint="eastAsia" w:ascii="宋体" w:hAnsi="宋体" w:eastAsia="宋体" w:cs="宋体"/>
          <w:color w:val="auto"/>
          <w:sz w:val="22"/>
          <w:szCs w:val="22"/>
          <w:highlight w:val="none"/>
          <w:lang w:bidi="ar"/>
        </w:rPr>
      </w:pPr>
    </w:p>
    <w:p w14:paraId="7868BD21">
      <w:pPr>
        <w:pStyle w:val="2"/>
        <w:rPr>
          <w:rFonts w:hint="eastAsia" w:ascii="宋体" w:hAnsi="宋体" w:eastAsia="宋体" w:cs="宋体"/>
          <w:color w:val="auto"/>
          <w:sz w:val="22"/>
          <w:szCs w:val="22"/>
          <w:highlight w:val="none"/>
          <w:lang w:bidi="ar"/>
        </w:rPr>
      </w:pPr>
    </w:p>
    <w:p w14:paraId="31969094">
      <w:pPr>
        <w:rPr>
          <w:rFonts w:hint="eastAsia" w:ascii="宋体" w:hAnsi="宋体" w:eastAsia="宋体" w:cs="宋体"/>
          <w:color w:val="auto"/>
          <w:sz w:val="22"/>
          <w:szCs w:val="22"/>
          <w:highlight w:val="none"/>
          <w:lang w:bidi="ar"/>
        </w:rPr>
      </w:pPr>
    </w:p>
    <w:p w14:paraId="4ED9B8C1">
      <w:pPr>
        <w:pStyle w:val="2"/>
        <w:rPr>
          <w:rFonts w:hint="eastAsia" w:ascii="宋体" w:hAnsi="宋体" w:eastAsia="宋体" w:cs="宋体"/>
          <w:color w:val="auto"/>
          <w:sz w:val="22"/>
          <w:szCs w:val="22"/>
          <w:highlight w:val="none"/>
          <w:lang w:bidi="ar"/>
        </w:rPr>
      </w:pPr>
    </w:p>
    <w:p w14:paraId="74C19E8C">
      <w:pPr>
        <w:rPr>
          <w:rFonts w:hint="eastAsia" w:ascii="宋体" w:hAnsi="宋体" w:eastAsia="宋体" w:cs="宋体"/>
          <w:color w:val="auto"/>
          <w:sz w:val="22"/>
          <w:szCs w:val="22"/>
          <w:highlight w:val="none"/>
          <w:lang w:bidi="ar"/>
        </w:rPr>
      </w:pPr>
    </w:p>
    <w:p w14:paraId="4A44C036">
      <w:pPr>
        <w:pStyle w:val="2"/>
        <w:rPr>
          <w:rFonts w:hint="eastAsia"/>
        </w:rPr>
      </w:pPr>
    </w:p>
    <w:p w14:paraId="7059489B">
      <w:pPr>
        <w:pStyle w:val="60"/>
        <w:spacing w:line="480" w:lineRule="auto"/>
        <w:ind w:firstLine="480"/>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注：1、此表为表样，行数可自行添加，但表式不变。</w:t>
      </w:r>
    </w:p>
    <w:p w14:paraId="1CD72B75">
      <w:pPr>
        <w:pStyle w:val="60"/>
        <w:spacing w:line="480" w:lineRule="auto"/>
        <w:ind w:firstLine="840"/>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2、“偏离说明”填写“正偏离”“负偏离”或“无偏离”。</w:t>
      </w:r>
    </w:p>
    <w:p w14:paraId="70892F1C">
      <w:pPr>
        <w:pStyle w:val="60"/>
        <w:spacing w:line="480" w:lineRule="auto"/>
        <w:ind w:firstLine="480"/>
        <w:rPr>
          <w:rFonts w:hint="eastAsia" w:ascii="宋体" w:hAnsi="宋体" w:eastAsia="宋体" w:cs="宋体"/>
          <w:color w:val="auto"/>
          <w:sz w:val="22"/>
          <w:szCs w:val="22"/>
          <w:highlight w:val="none"/>
          <w:lang w:bidi="ar"/>
        </w:rPr>
      </w:pPr>
    </w:p>
    <w:p w14:paraId="4A4E30E7">
      <w:pPr>
        <w:pStyle w:val="60"/>
        <w:ind w:firstLine="480"/>
        <w:rPr>
          <w:rFonts w:hint="eastAsia" w:ascii="宋体" w:hAnsi="宋体" w:eastAsia="宋体" w:cs="宋体"/>
          <w:color w:val="auto"/>
          <w:sz w:val="22"/>
          <w:szCs w:val="22"/>
          <w:highlight w:val="none"/>
          <w:lang w:bidi="ar"/>
        </w:rPr>
      </w:pPr>
    </w:p>
    <w:p w14:paraId="4E9895FC">
      <w:pPr>
        <w:pStyle w:val="60"/>
        <w:spacing w:line="480" w:lineRule="auto"/>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供应商单位全称（公章):</w:t>
      </w:r>
    </w:p>
    <w:p w14:paraId="22CB3BC7">
      <w:pPr>
        <w:pStyle w:val="60"/>
        <w:spacing w:line="480" w:lineRule="auto"/>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法定代表人（授权代表）签字：</w:t>
      </w:r>
    </w:p>
    <w:p w14:paraId="222AA4D5">
      <w:pPr>
        <w:spacing w:line="480" w:lineRule="auto"/>
        <w:ind w:firstLine="216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年     月     日 </w:t>
      </w:r>
    </w:p>
    <w:p w14:paraId="5C8B38CB">
      <w:pPr>
        <w:rPr>
          <w:rFonts w:hint="eastAsia" w:ascii="宋体" w:hAnsi="宋体" w:eastAsia="宋体" w:cs="宋体"/>
          <w:color w:val="auto"/>
          <w:highlight w:val="none"/>
          <w:lang w:bidi="ar"/>
        </w:rPr>
      </w:pPr>
    </w:p>
    <w:p w14:paraId="74673754">
      <w:pPr>
        <w:pStyle w:val="60"/>
        <w:ind w:firstLine="480"/>
        <w:rPr>
          <w:rFonts w:hint="eastAsia" w:ascii="宋体" w:hAnsi="宋体" w:eastAsia="宋体" w:cs="宋体"/>
          <w:color w:val="auto"/>
          <w:szCs w:val="24"/>
          <w:highlight w:val="none"/>
          <w:lang w:bidi="ar"/>
        </w:rPr>
      </w:pPr>
    </w:p>
    <w:p w14:paraId="2E903129">
      <w:pPr>
        <w:pStyle w:val="60"/>
        <w:ind w:firstLine="480"/>
        <w:rPr>
          <w:rFonts w:hint="eastAsia" w:ascii="宋体" w:hAnsi="宋体" w:eastAsia="宋体" w:cs="宋体"/>
          <w:color w:val="auto"/>
          <w:szCs w:val="24"/>
          <w:highlight w:val="none"/>
          <w:lang w:bidi="ar"/>
        </w:rPr>
      </w:pPr>
    </w:p>
    <w:p w14:paraId="388F95D1">
      <w:pPr>
        <w:pStyle w:val="60"/>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    </w:t>
      </w:r>
    </w:p>
    <w:p w14:paraId="021D21A9">
      <w:pPr>
        <w:pStyle w:val="60"/>
        <w:ind w:firstLine="480"/>
        <w:rPr>
          <w:rFonts w:hint="eastAsia" w:ascii="宋体" w:hAnsi="宋体" w:eastAsia="宋体" w:cs="宋体"/>
          <w:color w:val="auto"/>
          <w:szCs w:val="24"/>
          <w:highlight w:val="none"/>
          <w:lang w:bidi="ar"/>
        </w:rPr>
      </w:pPr>
    </w:p>
    <w:p w14:paraId="78E26320">
      <w:pPr>
        <w:rPr>
          <w:rFonts w:hint="eastAsia" w:ascii="宋体" w:hAnsi="宋体" w:eastAsia="宋体" w:cs="宋体"/>
          <w:color w:val="auto"/>
          <w:sz w:val="24"/>
          <w:highlight w:val="none"/>
          <w:lang w:bidi="ar"/>
        </w:rPr>
      </w:pPr>
    </w:p>
    <w:p w14:paraId="5FD61009">
      <w:pPr>
        <w:pStyle w:val="60"/>
        <w:ind w:firstLine="480"/>
        <w:rPr>
          <w:rFonts w:hint="eastAsia" w:ascii="宋体" w:hAnsi="宋体" w:eastAsia="宋体" w:cs="宋体"/>
          <w:color w:val="auto"/>
          <w:szCs w:val="24"/>
          <w:highlight w:val="none"/>
          <w:lang w:bidi="ar"/>
        </w:rPr>
      </w:pPr>
    </w:p>
    <w:p w14:paraId="2ED8F045">
      <w:pPr>
        <w:rPr>
          <w:rFonts w:hint="eastAsia" w:ascii="宋体" w:hAnsi="宋体" w:eastAsia="宋体" w:cs="宋体"/>
          <w:color w:val="auto"/>
          <w:szCs w:val="24"/>
          <w:highlight w:val="none"/>
          <w:lang w:bidi="ar"/>
        </w:rPr>
      </w:pPr>
    </w:p>
    <w:p w14:paraId="755491EA">
      <w:pPr>
        <w:pStyle w:val="16"/>
        <w:rPr>
          <w:rFonts w:hint="eastAsia" w:ascii="宋体" w:hAnsi="宋体" w:eastAsia="宋体" w:cs="宋体"/>
          <w:color w:val="auto"/>
          <w:szCs w:val="24"/>
          <w:highlight w:val="none"/>
          <w:lang w:bidi="ar"/>
        </w:rPr>
      </w:pPr>
    </w:p>
    <w:p w14:paraId="406535B7">
      <w:pPr>
        <w:rPr>
          <w:rFonts w:hint="eastAsia" w:ascii="宋体" w:hAnsi="宋体" w:eastAsia="宋体" w:cs="宋体"/>
          <w:color w:val="auto"/>
          <w:szCs w:val="24"/>
          <w:highlight w:val="none"/>
          <w:lang w:bidi="ar"/>
        </w:rPr>
      </w:pPr>
    </w:p>
    <w:p w14:paraId="1E61732E">
      <w:pPr>
        <w:pStyle w:val="16"/>
        <w:rPr>
          <w:rFonts w:hint="eastAsia" w:ascii="宋体" w:hAnsi="宋体" w:eastAsia="宋体" w:cs="宋体"/>
          <w:color w:val="auto"/>
          <w:szCs w:val="24"/>
          <w:highlight w:val="none"/>
          <w:lang w:bidi="ar"/>
        </w:rPr>
      </w:pPr>
    </w:p>
    <w:p w14:paraId="159FB79F">
      <w:pPr>
        <w:widowControl/>
        <w:spacing w:line="360" w:lineRule="auto"/>
        <w:jc w:val="center"/>
        <w:rPr>
          <w:rFonts w:hint="eastAsia"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bidi="ar"/>
        </w:rPr>
        <w:t>九、技术标</w:t>
      </w:r>
    </w:p>
    <w:p w14:paraId="246B6204">
      <w:pPr>
        <w:widowControl/>
        <w:spacing w:line="360" w:lineRule="auto"/>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val="en-US" w:eastAsia="zh-CN" w:bidi="ar"/>
        </w:rPr>
        <w:t>9.1</w:t>
      </w:r>
      <w:r>
        <w:rPr>
          <w:rFonts w:hint="eastAsia" w:ascii="宋体" w:hAnsi="宋体" w:eastAsia="宋体" w:cs="宋体"/>
          <w:b/>
          <w:bCs/>
          <w:color w:val="auto"/>
          <w:sz w:val="30"/>
          <w:szCs w:val="30"/>
          <w:highlight w:val="none"/>
          <w:lang w:bidi="ar"/>
        </w:rPr>
        <w:t>施工组织设计</w:t>
      </w:r>
    </w:p>
    <w:p w14:paraId="09238D0B">
      <w:pPr>
        <w:pStyle w:val="21"/>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(由供应商按采购文件要求等自行填写，格式自定)</w:t>
      </w:r>
    </w:p>
    <w:p w14:paraId="74FA5D76">
      <w:pPr>
        <w:pStyle w:val="60"/>
        <w:ind w:firstLine="480"/>
        <w:rPr>
          <w:rFonts w:hint="eastAsia" w:ascii="宋体" w:hAnsi="宋体" w:eastAsia="宋体" w:cs="宋体"/>
          <w:color w:val="auto"/>
          <w:highlight w:val="none"/>
        </w:rPr>
      </w:pPr>
    </w:p>
    <w:p w14:paraId="10F2320D">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1、总体概述：施工组织总体设想、方案针对性及施工段划分</w:t>
      </w:r>
    </w:p>
    <w:p w14:paraId="50B437C6">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2、施工现场平面布置和临时设施、临时道路布置</w:t>
      </w:r>
    </w:p>
    <w:p w14:paraId="68B09EA4">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3、施工进度计划和各阶段进度的保证措施</w:t>
      </w:r>
    </w:p>
    <w:p w14:paraId="1EF34189">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4、拟投入机具设备及劳动力配置合理，能满足施工强度要求</w:t>
      </w:r>
    </w:p>
    <w:p w14:paraId="5B580EDE">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5、对关键改造技术、工艺及工程项目实施的重点、难点和解决方案</w:t>
      </w:r>
    </w:p>
    <w:p w14:paraId="06D4D511">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6、针对本项目的工程质量保证措施。内容包含但不限于施工质量控制措施、质量保证体系及分部分项工程施工过程质量控制等</w:t>
      </w:r>
    </w:p>
    <w:p w14:paraId="19E27FB5">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szCs w:val="24"/>
          <w:highlight w:val="none"/>
        </w:rPr>
        <w:t>7、对该工程安全文明施工、施工现场扬尘污染防治措施及环境保护方面，内容包含但不限于措施科学、合理、操作性强</w:t>
      </w:r>
    </w:p>
    <w:p w14:paraId="345AE562">
      <w:pPr>
        <w:rPr>
          <w:rFonts w:hint="eastAsia" w:ascii="宋体" w:hAnsi="宋体" w:eastAsia="宋体" w:cs="宋体"/>
          <w:color w:val="auto"/>
          <w:highlight w:val="none"/>
        </w:rPr>
      </w:pPr>
    </w:p>
    <w:p w14:paraId="2E6D3DE0">
      <w:pPr>
        <w:pStyle w:val="210"/>
        <w:rPr>
          <w:rFonts w:hint="eastAsia" w:ascii="宋体" w:hAnsi="宋体" w:eastAsia="宋体" w:cs="宋体"/>
          <w:color w:val="auto"/>
          <w:highlight w:val="none"/>
        </w:rPr>
      </w:pPr>
    </w:p>
    <w:p w14:paraId="55A9C4C3">
      <w:pPr>
        <w:rPr>
          <w:rFonts w:hint="eastAsia" w:ascii="宋体" w:hAnsi="宋体" w:eastAsia="宋体" w:cs="宋体"/>
          <w:color w:val="auto"/>
          <w:highlight w:val="none"/>
        </w:rPr>
      </w:pPr>
    </w:p>
    <w:p w14:paraId="79762246">
      <w:pPr>
        <w:pStyle w:val="60"/>
        <w:ind w:firstLine="480"/>
        <w:rPr>
          <w:rFonts w:hint="eastAsia" w:ascii="宋体" w:hAnsi="宋体" w:eastAsia="宋体" w:cs="宋体"/>
          <w:color w:val="auto"/>
          <w:highlight w:val="none"/>
        </w:rPr>
      </w:pPr>
    </w:p>
    <w:p w14:paraId="40E40517">
      <w:pPr>
        <w:rPr>
          <w:rFonts w:hint="eastAsia" w:ascii="宋体" w:hAnsi="宋体" w:eastAsia="宋体" w:cs="宋体"/>
          <w:color w:val="auto"/>
          <w:highlight w:val="none"/>
        </w:rPr>
      </w:pPr>
    </w:p>
    <w:p w14:paraId="5672AB2B">
      <w:pPr>
        <w:pStyle w:val="60"/>
        <w:ind w:firstLine="480"/>
        <w:rPr>
          <w:rFonts w:hint="eastAsia" w:ascii="宋体" w:hAnsi="宋体" w:eastAsia="宋体" w:cs="宋体"/>
          <w:color w:val="auto"/>
          <w:highlight w:val="none"/>
        </w:rPr>
      </w:pPr>
    </w:p>
    <w:p w14:paraId="581057D3">
      <w:pPr>
        <w:rPr>
          <w:rFonts w:hint="eastAsia" w:ascii="宋体" w:hAnsi="宋体" w:eastAsia="宋体" w:cs="宋体"/>
          <w:color w:val="auto"/>
          <w:highlight w:val="none"/>
        </w:rPr>
      </w:pPr>
    </w:p>
    <w:p w14:paraId="5D3B369E">
      <w:pPr>
        <w:pStyle w:val="60"/>
        <w:ind w:firstLine="0"/>
        <w:rPr>
          <w:rFonts w:hint="eastAsia" w:ascii="宋体" w:hAnsi="宋体" w:eastAsia="宋体" w:cs="宋体"/>
          <w:color w:val="auto"/>
          <w:highlight w:val="none"/>
        </w:rPr>
      </w:pPr>
    </w:p>
    <w:p w14:paraId="5DA4A558">
      <w:pP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br w:type="page"/>
      </w:r>
    </w:p>
    <w:p w14:paraId="6242F52B">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人员配备情况一览表</w:t>
      </w:r>
    </w:p>
    <w:tbl>
      <w:tblPr>
        <w:tblStyle w:val="42"/>
        <w:tblpPr w:leftFromText="180" w:rightFromText="180" w:vertAnchor="text" w:horzAnchor="margin" w:tblpXSpec="left"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504A9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noWrap w:val="0"/>
            <w:vAlign w:val="center"/>
          </w:tcPr>
          <w:p w14:paraId="7D4B85C6">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905" w:type="dxa"/>
            <w:noWrap w:val="0"/>
            <w:vAlign w:val="center"/>
          </w:tcPr>
          <w:p w14:paraId="2EB9368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本项目拟任</w:t>
            </w:r>
          </w:p>
          <w:p w14:paraId="25EBE06F">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  务</w:t>
            </w:r>
          </w:p>
        </w:tc>
        <w:tc>
          <w:tcPr>
            <w:tcW w:w="1127" w:type="dxa"/>
            <w:noWrap w:val="0"/>
            <w:vAlign w:val="center"/>
          </w:tcPr>
          <w:p w14:paraId="692B7763">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w:t>
            </w:r>
          </w:p>
          <w:p w14:paraId="32D2524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职称</w:t>
            </w:r>
          </w:p>
        </w:tc>
        <w:tc>
          <w:tcPr>
            <w:tcW w:w="896" w:type="dxa"/>
            <w:noWrap w:val="0"/>
            <w:vAlign w:val="center"/>
          </w:tcPr>
          <w:p w14:paraId="3013FB7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896" w:type="dxa"/>
            <w:noWrap w:val="0"/>
            <w:vAlign w:val="center"/>
          </w:tcPr>
          <w:p w14:paraId="4403C24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学历</w:t>
            </w:r>
          </w:p>
        </w:tc>
        <w:tc>
          <w:tcPr>
            <w:tcW w:w="2814" w:type="dxa"/>
            <w:noWrap w:val="0"/>
            <w:vAlign w:val="center"/>
          </w:tcPr>
          <w:p w14:paraId="2148C748">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主要资历及担任过的职务</w:t>
            </w:r>
          </w:p>
        </w:tc>
      </w:tr>
      <w:tr w14:paraId="34E9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463A440">
            <w:pPr>
              <w:spacing w:line="360" w:lineRule="auto"/>
              <w:jc w:val="center"/>
              <w:rPr>
                <w:rFonts w:hint="eastAsia" w:ascii="宋体" w:hAnsi="宋体" w:eastAsia="宋体" w:cs="宋体"/>
                <w:color w:val="auto"/>
                <w:sz w:val="28"/>
                <w:highlight w:val="none"/>
              </w:rPr>
            </w:pPr>
          </w:p>
        </w:tc>
        <w:tc>
          <w:tcPr>
            <w:tcW w:w="1905" w:type="dxa"/>
            <w:noWrap w:val="0"/>
            <w:vAlign w:val="center"/>
          </w:tcPr>
          <w:p w14:paraId="1B9C6365">
            <w:pPr>
              <w:spacing w:line="360" w:lineRule="auto"/>
              <w:jc w:val="center"/>
              <w:rPr>
                <w:rFonts w:hint="eastAsia" w:ascii="宋体" w:hAnsi="宋体" w:eastAsia="宋体" w:cs="宋体"/>
                <w:color w:val="auto"/>
                <w:sz w:val="28"/>
                <w:highlight w:val="none"/>
              </w:rPr>
            </w:pPr>
          </w:p>
        </w:tc>
        <w:tc>
          <w:tcPr>
            <w:tcW w:w="1127" w:type="dxa"/>
            <w:noWrap w:val="0"/>
            <w:vAlign w:val="center"/>
          </w:tcPr>
          <w:p w14:paraId="3B9088DA">
            <w:pPr>
              <w:spacing w:line="360" w:lineRule="auto"/>
              <w:jc w:val="center"/>
              <w:rPr>
                <w:rFonts w:hint="eastAsia" w:ascii="宋体" w:hAnsi="宋体" w:eastAsia="宋体" w:cs="宋体"/>
                <w:color w:val="auto"/>
                <w:sz w:val="28"/>
                <w:highlight w:val="none"/>
              </w:rPr>
            </w:pPr>
          </w:p>
        </w:tc>
        <w:tc>
          <w:tcPr>
            <w:tcW w:w="896" w:type="dxa"/>
            <w:noWrap w:val="0"/>
            <w:vAlign w:val="center"/>
          </w:tcPr>
          <w:p w14:paraId="367AFF3A">
            <w:pPr>
              <w:spacing w:line="360" w:lineRule="auto"/>
              <w:jc w:val="center"/>
              <w:rPr>
                <w:rFonts w:hint="eastAsia" w:ascii="宋体" w:hAnsi="宋体" w:eastAsia="宋体" w:cs="宋体"/>
                <w:color w:val="auto"/>
                <w:sz w:val="28"/>
                <w:highlight w:val="none"/>
              </w:rPr>
            </w:pPr>
          </w:p>
        </w:tc>
        <w:tc>
          <w:tcPr>
            <w:tcW w:w="896" w:type="dxa"/>
            <w:noWrap w:val="0"/>
            <w:vAlign w:val="center"/>
          </w:tcPr>
          <w:p w14:paraId="0DBBF5F2">
            <w:pPr>
              <w:spacing w:line="360" w:lineRule="auto"/>
              <w:jc w:val="center"/>
              <w:rPr>
                <w:rFonts w:hint="eastAsia" w:ascii="宋体" w:hAnsi="宋体" w:eastAsia="宋体" w:cs="宋体"/>
                <w:color w:val="auto"/>
                <w:sz w:val="28"/>
                <w:highlight w:val="none"/>
              </w:rPr>
            </w:pPr>
          </w:p>
        </w:tc>
        <w:tc>
          <w:tcPr>
            <w:tcW w:w="2814" w:type="dxa"/>
            <w:noWrap w:val="0"/>
            <w:vAlign w:val="center"/>
          </w:tcPr>
          <w:p w14:paraId="3C1787F2">
            <w:pPr>
              <w:spacing w:line="360" w:lineRule="auto"/>
              <w:jc w:val="center"/>
              <w:rPr>
                <w:rFonts w:hint="eastAsia" w:ascii="宋体" w:hAnsi="宋体" w:eastAsia="宋体" w:cs="宋体"/>
                <w:color w:val="auto"/>
                <w:sz w:val="28"/>
                <w:highlight w:val="none"/>
              </w:rPr>
            </w:pPr>
          </w:p>
        </w:tc>
      </w:tr>
      <w:tr w14:paraId="1D00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6E2AB601">
            <w:pPr>
              <w:spacing w:line="360" w:lineRule="auto"/>
              <w:jc w:val="center"/>
              <w:rPr>
                <w:rFonts w:hint="eastAsia" w:ascii="宋体" w:hAnsi="宋体" w:eastAsia="宋体" w:cs="宋体"/>
                <w:color w:val="auto"/>
                <w:sz w:val="28"/>
                <w:highlight w:val="none"/>
              </w:rPr>
            </w:pPr>
          </w:p>
        </w:tc>
        <w:tc>
          <w:tcPr>
            <w:tcW w:w="1905" w:type="dxa"/>
            <w:noWrap w:val="0"/>
            <w:vAlign w:val="center"/>
          </w:tcPr>
          <w:p w14:paraId="50B738D7">
            <w:pPr>
              <w:spacing w:line="360" w:lineRule="auto"/>
              <w:jc w:val="center"/>
              <w:rPr>
                <w:rFonts w:hint="eastAsia" w:ascii="宋体" w:hAnsi="宋体" w:eastAsia="宋体" w:cs="宋体"/>
                <w:color w:val="auto"/>
                <w:sz w:val="28"/>
                <w:highlight w:val="none"/>
              </w:rPr>
            </w:pPr>
          </w:p>
        </w:tc>
        <w:tc>
          <w:tcPr>
            <w:tcW w:w="1127" w:type="dxa"/>
            <w:noWrap w:val="0"/>
            <w:vAlign w:val="center"/>
          </w:tcPr>
          <w:p w14:paraId="3B7C29DC">
            <w:pPr>
              <w:spacing w:line="360" w:lineRule="auto"/>
              <w:jc w:val="center"/>
              <w:rPr>
                <w:rFonts w:hint="eastAsia" w:ascii="宋体" w:hAnsi="宋体" w:eastAsia="宋体" w:cs="宋体"/>
                <w:color w:val="auto"/>
                <w:sz w:val="28"/>
                <w:highlight w:val="none"/>
              </w:rPr>
            </w:pPr>
          </w:p>
        </w:tc>
        <w:tc>
          <w:tcPr>
            <w:tcW w:w="896" w:type="dxa"/>
            <w:noWrap w:val="0"/>
            <w:vAlign w:val="center"/>
          </w:tcPr>
          <w:p w14:paraId="04827F20">
            <w:pPr>
              <w:spacing w:line="360" w:lineRule="auto"/>
              <w:jc w:val="center"/>
              <w:rPr>
                <w:rFonts w:hint="eastAsia" w:ascii="宋体" w:hAnsi="宋体" w:eastAsia="宋体" w:cs="宋体"/>
                <w:color w:val="auto"/>
                <w:sz w:val="28"/>
                <w:highlight w:val="none"/>
              </w:rPr>
            </w:pPr>
          </w:p>
        </w:tc>
        <w:tc>
          <w:tcPr>
            <w:tcW w:w="896" w:type="dxa"/>
            <w:noWrap w:val="0"/>
            <w:vAlign w:val="center"/>
          </w:tcPr>
          <w:p w14:paraId="60E472D3">
            <w:pPr>
              <w:spacing w:line="360" w:lineRule="auto"/>
              <w:jc w:val="center"/>
              <w:rPr>
                <w:rFonts w:hint="eastAsia" w:ascii="宋体" w:hAnsi="宋体" w:eastAsia="宋体" w:cs="宋体"/>
                <w:color w:val="auto"/>
                <w:sz w:val="28"/>
                <w:highlight w:val="none"/>
              </w:rPr>
            </w:pPr>
          </w:p>
        </w:tc>
        <w:tc>
          <w:tcPr>
            <w:tcW w:w="2814" w:type="dxa"/>
            <w:noWrap w:val="0"/>
            <w:vAlign w:val="center"/>
          </w:tcPr>
          <w:p w14:paraId="76F93223">
            <w:pPr>
              <w:spacing w:line="360" w:lineRule="auto"/>
              <w:jc w:val="center"/>
              <w:rPr>
                <w:rFonts w:hint="eastAsia" w:ascii="宋体" w:hAnsi="宋体" w:eastAsia="宋体" w:cs="宋体"/>
                <w:color w:val="auto"/>
                <w:sz w:val="28"/>
                <w:highlight w:val="none"/>
              </w:rPr>
            </w:pPr>
          </w:p>
        </w:tc>
      </w:tr>
      <w:tr w14:paraId="34F47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75DE8BD">
            <w:pPr>
              <w:spacing w:line="360" w:lineRule="auto"/>
              <w:jc w:val="center"/>
              <w:rPr>
                <w:rFonts w:hint="eastAsia" w:ascii="宋体" w:hAnsi="宋体" w:eastAsia="宋体" w:cs="宋体"/>
                <w:color w:val="auto"/>
                <w:sz w:val="28"/>
                <w:highlight w:val="none"/>
              </w:rPr>
            </w:pPr>
          </w:p>
        </w:tc>
        <w:tc>
          <w:tcPr>
            <w:tcW w:w="1905" w:type="dxa"/>
            <w:noWrap w:val="0"/>
            <w:vAlign w:val="center"/>
          </w:tcPr>
          <w:p w14:paraId="35263E40">
            <w:pPr>
              <w:spacing w:line="360" w:lineRule="auto"/>
              <w:jc w:val="center"/>
              <w:rPr>
                <w:rFonts w:hint="eastAsia" w:ascii="宋体" w:hAnsi="宋体" w:eastAsia="宋体" w:cs="宋体"/>
                <w:color w:val="auto"/>
                <w:sz w:val="28"/>
                <w:highlight w:val="none"/>
              </w:rPr>
            </w:pPr>
          </w:p>
        </w:tc>
        <w:tc>
          <w:tcPr>
            <w:tcW w:w="1127" w:type="dxa"/>
            <w:noWrap w:val="0"/>
            <w:vAlign w:val="center"/>
          </w:tcPr>
          <w:p w14:paraId="1A485AD2">
            <w:pPr>
              <w:spacing w:line="360" w:lineRule="auto"/>
              <w:jc w:val="center"/>
              <w:rPr>
                <w:rFonts w:hint="eastAsia" w:ascii="宋体" w:hAnsi="宋体" w:eastAsia="宋体" w:cs="宋体"/>
                <w:color w:val="auto"/>
                <w:sz w:val="28"/>
                <w:highlight w:val="none"/>
              </w:rPr>
            </w:pPr>
          </w:p>
        </w:tc>
        <w:tc>
          <w:tcPr>
            <w:tcW w:w="896" w:type="dxa"/>
            <w:noWrap w:val="0"/>
            <w:vAlign w:val="center"/>
          </w:tcPr>
          <w:p w14:paraId="1363AF89">
            <w:pPr>
              <w:spacing w:line="360" w:lineRule="auto"/>
              <w:jc w:val="center"/>
              <w:rPr>
                <w:rFonts w:hint="eastAsia" w:ascii="宋体" w:hAnsi="宋体" w:eastAsia="宋体" w:cs="宋体"/>
                <w:color w:val="auto"/>
                <w:sz w:val="28"/>
                <w:highlight w:val="none"/>
              </w:rPr>
            </w:pPr>
          </w:p>
        </w:tc>
        <w:tc>
          <w:tcPr>
            <w:tcW w:w="896" w:type="dxa"/>
            <w:noWrap w:val="0"/>
            <w:vAlign w:val="center"/>
          </w:tcPr>
          <w:p w14:paraId="145F87A1">
            <w:pPr>
              <w:spacing w:line="360" w:lineRule="auto"/>
              <w:jc w:val="center"/>
              <w:rPr>
                <w:rFonts w:hint="eastAsia" w:ascii="宋体" w:hAnsi="宋体" w:eastAsia="宋体" w:cs="宋体"/>
                <w:color w:val="auto"/>
                <w:sz w:val="28"/>
                <w:highlight w:val="none"/>
              </w:rPr>
            </w:pPr>
          </w:p>
        </w:tc>
        <w:tc>
          <w:tcPr>
            <w:tcW w:w="2814" w:type="dxa"/>
            <w:noWrap w:val="0"/>
            <w:vAlign w:val="center"/>
          </w:tcPr>
          <w:p w14:paraId="7FBDC294">
            <w:pPr>
              <w:spacing w:line="360" w:lineRule="auto"/>
              <w:jc w:val="center"/>
              <w:rPr>
                <w:rFonts w:hint="eastAsia" w:ascii="宋体" w:hAnsi="宋体" w:eastAsia="宋体" w:cs="宋体"/>
                <w:color w:val="auto"/>
                <w:sz w:val="28"/>
                <w:highlight w:val="none"/>
              </w:rPr>
            </w:pPr>
          </w:p>
        </w:tc>
      </w:tr>
      <w:tr w14:paraId="305EE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76E53487">
            <w:pPr>
              <w:spacing w:line="360" w:lineRule="auto"/>
              <w:jc w:val="center"/>
              <w:rPr>
                <w:rFonts w:hint="eastAsia" w:ascii="宋体" w:hAnsi="宋体" w:eastAsia="宋体" w:cs="宋体"/>
                <w:color w:val="auto"/>
                <w:sz w:val="28"/>
                <w:highlight w:val="none"/>
              </w:rPr>
            </w:pPr>
          </w:p>
        </w:tc>
        <w:tc>
          <w:tcPr>
            <w:tcW w:w="1905" w:type="dxa"/>
            <w:noWrap w:val="0"/>
            <w:vAlign w:val="center"/>
          </w:tcPr>
          <w:p w14:paraId="11CAB547">
            <w:pPr>
              <w:spacing w:line="360" w:lineRule="auto"/>
              <w:jc w:val="center"/>
              <w:rPr>
                <w:rFonts w:hint="eastAsia" w:ascii="宋体" w:hAnsi="宋体" w:eastAsia="宋体" w:cs="宋体"/>
                <w:color w:val="auto"/>
                <w:sz w:val="28"/>
                <w:highlight w:val="none"/>
              </w:rPr>
            </w:pPr>
          </w:p>
        </w:tc>
        <w:tc>
          <w:tcPr>
            <w:tcW w:w="1127" w:type="dxa"/>
            <w:noWrap w:val="0"/>
            <w:vAlign w:val="center"/>
          </w:tcPr>
          <w:p w14:paraId="53657538">
            <w:pPr>
              <w:spacing w:line="360" w:lineRule="auto"/>
              <w:jc w:val="center"/>
              <w:rPr>
                <w:rFonts w:hint="eastAsia" w:ascii="宋体" w:hAnsi="宋体" w:eastAsia="宋体" w:cs="宋体"/>
                <w:color w:val="auto"/>
                <w:sz w:val="28"/>
                <w:highlight w:val="none"/>
              </w:rPr>
            </w:pPr>
          </w:p>
        </w:tc>
        <w:tc>
          <w:tcPr>
            <w:tcW w:w="896" w:type="dxa"/>
            <w:noWrap w:val="0"/>
            <w:vAlign w:val="center"/>
          </w:tcPr>
          <w:p w14:paraId="7ACE16C0">
            <w:pPr>
              <w:spacing w:line="360" w:lineRule="auto"/>
              <w:jc w:val="center"/>
              <w:rPr>
                <w:rFonts w:hint="eastAsia" w:ascii="宋体" w:hAnsi="宋体" w:eastAsia="宋体" w:cs="宋体"/>
                <w:color w:val="auto"/>
                <w:sz w:val="28"/>
                <w:highlight w:val="none"/>
              </w:rPr>
            </w:pPr>
          </w:p>
        </w:tc>
        <w:tc>
          <w:tcPr>
            <w:tcW w:w="896" w:type="dxa"/>
            <w:noWrap w:val="0"/>
            <w:vAlign w:val="center"/>
          </w:tcPr>
          <w:p w14:paraId="4621EF7B">
            <w:pPr>
              <w:spacing w:line="360" w:lineRule="auto"/>
              <w:jc w:val="center"/>
              <w:rPr>
                <w:rFonts w:hint="eastAsia" w:ascii="宋体" w:hAnsi="宋体" w:eastAsia="宋体" w:cs="宋体"/>
                <w:color w:val="auto"/>
                <w:sz w:val="28"/>
                <w:highlight w:val="none"/>
              </w:rPr>
            </w:pPr>
          </w:p>
        </w:tc>
        <w:tc>
          <w:tcPr>
            <w:tcW w:w="2814" w:type="dxa"/>
            <w:noWrap w:val="0"/>
            <w:vAlign w:val="center"/>
          </w:tcPr>
          <w:p w14:paraId="533FA198">
            <w:pPr>
              <w:spacing w:line="360" w:lineRule="auto"/>
              <w:jc w:val="center"/>
              <w:rPr>
                <w:rFonts w:hint="eastAsia" w:ascii="宋体" w:hAnsi="宋体" w:eastAsia="宋体" w:cs="宋体"/>
                <w:color w:val="auto"/>
                <w:sz w:val="28"/>
                <w:highlight w:val="none"/>
              </w:rPr>
            </w:pPr>
          </w:p>
        </w:tc>
      </w:tr>
      <w:tr w14:paraId="74A27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41833F43">
            <w:pPr>
              <w:spacing w:line="360" w:lineRule="auto"/>
              <w:jc w:val="center"/>
              <w:rPr>
                <w:rFonts w:hint="eastAsia" w:ascii="宋体" w:hAnsi="宋体" w:eastAsia="宋体" w:cs="宋体"/>
                <w:color w:val="auto"/>
                <w:sz w:val="28"/>
                <w:highlight w:val="none"/>
              </w:rPr>
            </w:pPr>
          </w:p>
        </w:tc>
        <w:tc>
          <w:tcPr>
            <w:tcW w:w="1905" w:type="dxa"/>
            <w:noWrap w:val="0"/>
            <w:vAlign w:val="center"/>
          </w:tcPr>
          <w:p w14:paraId="2D831E76">
            <w:pPr>
              <w:spacing w:line="360" w:lineRule="auto"/>
              <w:jc w:val="center"/>
              <w:rPr>
                <w:rFonts w:hint="eastAsia" w:ascii="宋体" w:hAnsi="宋体" w:eastAsia="宋体" w:cs="宋体"/>
                <w:color w:val="auto"/>
                <w:sz w:val="28"/>
                <w:highlight w:val="none"/>
              </w:rPr>
            </w:pPr>
          </w:p>
        </w:tc>
        <w:tc>
          <w:tcPr>
            <w:tcW w:w="1127" w:type="dxa"/>
            <w:noWrap w:val="0"/>
            <w:vAlign w:val="center"/>
          </w:tcPr>
          <w:p w14:paraId="5E403940">
            <w:pPr>
              <w:spacing w:line="360" w:lineRule="auto"/>
              <w:jc w:val="center"/>
              <w:rPr>
                <w:rFonts w:hint="eastAsia" w:ascii="宋体" w:hAnsi="宋体" w:eastAsia="宋体" w:cs="宋体"/>
                <w:color w:val="auto"/>
                <w:sz w:val="28"/>
                <w:highlight w:val="none"/>
              </w:rPr>
            </w:pPr>
          </w:p>
        </w:tc>
        <w:tc>
          <w:tcPr>
            <w:tcW w:w="896" w:type="dxa"/>
            <w:noWrap w:val="0"/>
            <w:vAlign w:val="center"/>
          </w:tcPr>
          <w:p w14:paraId="1E13F973">
            <w:pPr>
              <w:spacing w:line="360" w:lineRule="auto"/>
              <w:jc w:val="center"/>
              <w:rPr>
                <w:rFonts w:hint="eastAsia" w:ascii="宋体" w:hAnsi="宋体" w:eastAsia="宋体" w:cs="宋体"/>
                <w:color w:val="auto"/>
                <w:sz w:val="28"/>
                <w:highlight w:val="none"/>
              </w:rPr>
            </w:pPr>
          </w:p>
        </w:tc>
        <w:tc>
          <w:tcPr>
            <w:tcW w:w="896" w:type="dxa"/>
            <w:noWrap w:val="0"/>
            <w:vAlign w:val="center"/>
          </w:tcPr>
          <w:p w14:paraId="708B8042">
            <w:pPr>
              <w:spacing w:line="360" w:lineRule="auto"/>
              <w:jc w:val="center"/>
              <w:rPr>
                <w:rFonts w:hint="eastAsia" w:ascii="宋体" w:hAnsi="宋体" w:eastAsia="宋体" w:cs="宋体"/>
                <w:color w:val="auto"/>
                <w:sz w:val="28"/>
                <w:highlight w:val="none"/>
              </w:rPr>
            </w:pPr>
          </w:p>
        </w:tc>
        <w:tc>
          <w:tcPr>
            <w:tcW w:w="2814" w:type="dxa"/>
            <w:noWrap w:val="0"/>
            <w:vAlign w:val="center"/>
          </w:tcPr>
          <w:p w14:paraId="4CBCAB63">
            <w:pPr>
              <w:spacing w:line="360" w:lineRule="auto"/>
              <w:jc w:val="center"/>
              <w:rPr>
                <w:rFonts w:hint="eastAsia" w:ascii="宋体" w:hAnsi="宋体" w:eastAsia="宋体" w:cs="宋体"/>
                <w:color w:val="auto"/>
                <w:sz w:val="28"/>
                <w:highlight w:val="none"/>
              </w:rPr>
            </w:pPr>
          </w:p>
        </w:tc>
      </w:tr>
      <w:tr w14:paraId="29AE4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3A7E4BC">
            <w:pPr>
              <w:spacing w:line="360" w:lineRule="auto"/>
              <w:jc w:val="center"/>
              <w:rPr>
                <w:rFonts w:hint="eastAsia" w:ascii="宋体" w:hAnsi="宋体" w:eastAsia="宋体" w:cs="宋体"/>
                <w:color w:val="auto"/>
                <w:sz w:val="28"/>
                <w:highlight w:val="none"/>
              </w:rPr>
            </w:pPr>
          </w:p>
        </w:tc>
        <w:tc>
          <w:tcPr>
            <w:tcW w:w="1905" w:type="dxa"/>
            <w:noWrap w:val="0"/>
            <w:vAlign w:val="center"/>
          </w:tcPr>
          <w:p w14:paraId="5BD107E9">
            <w:pPr>
              <w:spacing w:line="360" w:lineRule="auto"/>
              <w:jc w:val="center"/>
              <w:rPr>
                <w:rFonts w:hint="eastAsia" w:ascii="宋体" w:hAnsi="宋体" w:eastAsia="宋体" w:cs="宋体"/>
                <w:color w:val="auto"/>
                <w:sz w:val="28"/>
                <w:highlight w:val="none"/>
              </w:rPr>
            </w:pPr>
          </w:p>
        </w:tc>
        <w:tc>
          <w:tcPr>
            <w:tcW w:w="1127" w:type="dxa"/>
            <w:noWrap w:val="0"/>
            <w:vAlign w:val="center"/>
          </w:tcPr>
          <w:p w14:paraId="5F2FF35E">
            <w:pPr>
              <w:spacing w:line="360" w:lineRule="auto"/>
              <w:jc w:val="center"/>
              <w:rPr>
                <w:rFonts w:hint="eastAsia" w:ascii="宋体" w:hAnsi="宋体" w:eastAsia="宋体" w:cs="宋体"/>
                <w:color w:val="auto"/>
                <w:sz w:val="28"/>
                <w:highlight w:val="none"/>
              </w:rPr>
            </w:pPr>
          </w:p>
        </w:tc>
        <w:tc>
          <w:tcPr>
            <w:tcW w:w="896" w:type="dxa"/>
            <w:noWrap w:val="0"/>
            <w:vAlign w:val="center"/>
          </w:tcPr>
          <w:p w14:paraId="5CC9793E">
            <w:pPr>
              <w:spacing w:line="360" w:lineRule="auto"/>
              <w:jc w:val="center"/>
              <w:rPr>
                <w:rFonts w:hint="eastAsia" w:ascii="宋体" w:hAnsi="宋体" w:eastAsia="宋体" w:cs="宋体"/>
                <w:color w:val="auto"/>
                <w:sz w:val="28"/>
                <w:highlight w:val="none"/>
              </w:rPr>
            </w:pPr>
          </w:p>
        </w:tc>
        <w:tc>
          <w:tcPr>
            <w:tcW w:w="896" w:type="dxa"/>
            <w:noWrap w:val="0"/>
            <w:vAlign w:val="center"/>
          </w:tcPr>
          <w:p w14:paraId="31537A43">
            <w:pPr>
              <w:spacing w:line="360" w:lineRule="auto"/>
              <w:jc w:val="center"/>
              <w:rPr>
                <w:rFonts w:hint="eastAsia" w:ascii="宋体" w:hAnsi="宋体" w:eastAsia="宋体" w:cs="宋体"/>
                <w:color w:val="auto"/>
                <w:sz w:val="28"/>
                <w:highlight w:val="none"/>
              </w:rPr>
            </w:pPr>
          </w:p>
        </w:tc>
        <w:tc>
          <w:tcPr>
            <w:tcW w:w="2814" w:type="dxa"/>
            <w:noWrap w:val="0"/>
            <w:vAlign w:val="center"/>
          </w:tcPr>
          <w:p w14:paraId="2B5928D8">
            <w:pPr>
              <w:spacing w:line="360" w:lineRule="auto"/>
              <w:jc w:val="center"/>
              <w:rPr>
                <w:rFonts w:hint="eastAsia" w:ascii="宋体" w:hAnsi="宋体" w:eastAsia="宋体" w:cs="宋体"/>
                <w:color w:val="auto"/>
                <w:sz w:val="28"/>
                <w:highlight w:val="none"/>
              </w:rPr>
            </w:pPr>
          </w:p>
        </w:tc>
      </w:tr>
      <w:tr w14:paraId="173C8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292E49A">
            <w:pPr>
              <w:spacing w:line="360" w:lineRule="auto"/>
              <w:jc w:val="center"/>
              <w:rPr>
                <w:rFonts w:hint="eastAsia" w:ascii="宋体" w:hAnsi="宋体" w:eastAsia="宋体" w:cs="宋体"/>
                <w:color w:val="auto"/>
                <w:sz w:val="28"/>
                <w:highlight w:val="none"/>
              </w:rPr>
            </w:pPr>
          </w:p>
        </w:tc>
        <w:tc>
          <w:tcPr>
            <w:tcW w:w="1905" w:type="dxa"/>
            <w:noWrap w:val="0"/>
            <w:vAlign w:val="center"/>
          </w:tcPr>
          <w:p w14:paraId="0A618E4A">
            <w:pPr>
              <w:spacing w:line="360" w:lineRule="auto"/>
              <w:jc w:val="center"/>
              <w:rPr>
                <w:rFonts w:hint="eastAsia" w:ascii="宋体" w:hAnsi="宋体" w:eastAsia="宋体" w:cs="宋体"/>
                <w:color w:val="auto"/>
                <w:sz w:val="28"/>
                <w:highlight w:val="none"/>
              </w:rPr>
            </w:pPr>
          </w:p>
        </w:tc>
        <w:tc>
          <w:tcPr>
            <w:tcW w:w="1127" w:type="dxa"/>
            <w:noWrap w:val="0"/>
            <w:vAlign w:val="center"/>
          </w:tcPr>
          <w:p w14:paraId="104ABD3B">
            <w:pPr>
              <w:spacing w:line="360" w:lineRule="auto"/>
              <w:jc w:val="center"/>
              <w:rPr>
                <w:rFonts w:hint="eastAsia" w:ascii="宋体" w:hAnsi="宋体" w:eastAsia="宋体" w:cs="宋体"/>
                <w:color w:val="auto"/>
                <w:sz w:val="28"/>
                <w:highlight w:val="none"/>
              </w:rPr>
            </w:pPr>
          </w:p>
        </w:tc>
        <w:tc>
          <w:tcPr>
            <w:tcW w:w="896" w:type="dxa"/>
            <w:noWrap w:val="0"/>
            <w:vAlign w:val="center"/>
          </w:tcPr>
          <w:p w14:paraId="2E89D7CB">
            <w:pPr>
              <w:spacing w:line="360" w:lineRule="auto"/>
              <w:jc w:val="center"/>
              <w:rPr>
                <w:rFonts w:hint="eastAsia" w:ascii="宋体" w:hAnsi="宋体" w:eastAsia="宋体" w:cs="宋体"/>
                <w:color w:val="auto"/>
                <w:sz w:val="28"/>
                <w:highlight w:val="none"/>
              </w:rPr>
            </w:pPr>
          </w:p>
        </w:tc>
        <w:tc>
          <w:tcPr>
            <w:tcW w:w="896" w:type="dxa"/>
            <w:noWrap w:val="0"/>
            <w:vAlign w:val="center"/>
          </w:tcPr>
          <w:p w14:paraId="4101623B">
            <w:pPr>
              <w:spacing w:line="360" w:lineRule="auto"/>
              <w:jc w:val="center"/>
              <w:rPr>
                <w:rFonts w:hint="eastAsia" w:ascii="宋体" w:hAnsi="宋体" w:eastAsia="宋体" w:cs="宋体"/>
                <w:color w:val="auto"/>
                <w:sz w:val="28"/>
                <w:highlight w:val="none"/>
              </w:rPr>
            </w:pPr>
          </w:p>
        </w:tc>
        <w:tc>
          <w:tcPr>
            <w:tcW w:w="2814" w:type="dxa"/>
            <w:noWrap w:val="0"/>
            <w:vAlign w:val="center"/>
          </w:tcPr>
          <w:p w14:paraId="58417E8B">
            <w:pPr>
              <w:spacing w:line="360" w:lineRule="auto"/>
              <w:jc w:val="center"/>
              <w:rPr>
                <w:rFonts w:hint="eastAsia" w:ascii="宋体" w:hAnsi="宋体" w:eastAsia="宋体" w:cs="宋体"/>
                <w:color w:val="auto"/>
                <w:sz w:val="28"/>
                <w:highlight w:val="none"/>
              </w:rPr>
            </w:pPr>
          </w:p>
        </w:tc>
      </w:tr>
      <w:tr w14:paraId="2098C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6F732300">
            <w:pPr>
              <w:spacing w:line="360" w:lineRule="auto"/>
              <w:jc w:val="center"/>
              <w:rPr>
                <w:rFonts w:hint="eastAsia" w:ascii="宋体" w:hAnsi="宋体" w:eastAsia="宋体" w:cs="宋体"/>
                <w:color w:val="auto"/>
                <w:sz w:val="28"/>
                <w:highlight w:val="none"/>
              </w:rPr>
            </w:pPr>
          </w:p>
        </w:tc>
        <w:tc>
          <w:tcPr>
            <w:tcW w:w="1905" w:type="dxa"/>
            <w:noWrap w:val="0"/>
            <w:vAlign w:val="center"/>
          </w:tcPr>
          <w:p w14:paraId="193E4EDD">
            <w:pPr>
              <w:spacing w:line="360" w:lineRule="auto"/>
              <w:jc w:val="center"/>
              <w:rPr>
                <w:rFonts w:hint="eastAsia" w:ascii="宋体" w:hAnsi="宋体" w:eastAsia="宋体" w:cs="宋体"/>
                <w:color w:val="auto"/>
                <w:sz w:val="28"/>
                <w:highlight w:val="none"/>
              </w:rPr>
            </w:pPr>
          </w:p>
        </w:tc>
        <w:tc>
          <w:tcPr>
            <w:tcW w:w="1127" w:type="dxa"/>
            <w:noWrap w:val="0"/>
            <w:vAlign w:val="center"/>
          </w:tcPr>
          <w:p w14:paraId="62B1A85B">
            <w:pPr>
              <w:spacing w:line="360" w:lineRule="auto"/>
              <w:jc w:val="center"/>
              <w:rPr>
                <w:rFonts w:hint="eastAsia" w:ascii="宋体" w:hAnsi="宋体" w:eastAsia="宋体" w:cs="宋体"/>
                <w:color w:val="auto"/>
                <w:sz w:val="28"/>
                <w:highlight w:val="none"/>
              </w:rPr>
            </w:pPr>
          </w:p>
        </w:tc>
        <w:tc>
          <w:tcPr>
            <w:tcW w:w="896" w:type="dxa"/>
            <w:noWrap w:val="0"/>
            <w:vAlign w:val="center"/>
          </w:tcPr>
          <w:p w14:paraId="3C20E0B1">
            <w:pPr>
              <w:spacing w:line="360" w:lineRule="auto"/>
              <w:jc w:val="center"/>
              <w:rPr>
                <w:rFonts w:hint="eastAsia" w:ascii="宋体" w:hAnsi="宋体" w:eastAsia="宋体" w:cs="宋体"/>
                <w:color w:val="auto"/>
                <w:sz w:val="28"/>
                <w:highlight w:val="none"/>
              </w:rPr>
            </w:pPr>
          </w:p>
        </w:tc>
        <w:tc>
          <w:tcPr>
            <w:tcW w:w="896" w:type="dxa"/>
            <w:noWrap w:val="0"/>
            <w:vAlign w:val="center"/>
          </w:tcPr>
          <w:p w14:paraId="38279E4E">
            <w:pPr>
              <w:spacing w:line="360" w:lineRule="auto"/>
              <w:jc w:val="center"/>
              <w:rPr>
                <w:rFonts w:hint="eastAsia" w:ascii="宋体" w:hAnsi="宋体" w:eastAsia="宋体" w:cs="宋体"/>
                <w:color w:val="auto"/>
                <w:sz w:val="28"/>
                <w:highlight w:val="none"/>
              </w:rPr>
            </w:pPr>
          </w:p>
        </w:tc>
        <w:tc>
          <w:tcPr>
            <w:tcW w:w="2814" w:type="dxa"/>
            <w:noWrap w:val="0"/>
            <w:vAlign w:val="center"/>
          </w:tcPr>
          <w:p w14:paraId="43F6C6FF">
            <w:pPr>
              <w:spacing w:line="360" w:lineRule="auto"/>
              <w:jc w:val="center"/>
              <w:rPr>
                <w:rFonts w:hint="eastAsia" w:ascii="宋体" w:hAnsi="宋体" w:eastAsia="宋体" w:cs="宋体"/>
                <w:color w:val="auto"/>
                <w:sz w:val="28"/>
                <w:highlight w:val="none"/>
              </w:rPr>
            </w:pPr>
          </w:p>
        </w:tc>
      </w:tr>
      <w:tr w14:paraId="40FEB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0B31500">
            <w:pPr>
              <w:spacing w:line="360" w:lineRule="auto"/>
              <w:jc w:val="center"/>
              <w:rPr>
                <w:rFonts w:hint="eastAsia" w:ascii="宋体" w:hAnsi="宋体" w:eastAsia="宋体" w:cs="宋体"/>
                <w:color w:val="auto"/>
                <w:sz w:val="28"/>
                <w:highlight w:val="none"/>
              </w:rPr>
            </w:pPr>
          </w:p>
        </w:tc>
        <w:tc>
          <w:tcPr>
            <w:tcW w:w="1905" w:type="dxa"/>
            <w:noWrap w:val="0"/>
            <w:vAlign w:val="center"/>
          </w:tcPr>
          <w:p w14:paraId="13F60FC8">
            <w:pPr>
              <w:spacing w:line="360" w:lineRule="auto"/>
              <w:jc w:val="center"/>
              <w:rPr>
                <w:rFonts w:hint="eastAsia" w:ascii="宋体" w:hAnsi="宋体" w:eastAsia="宋体" w:cs="宋体"/>
                <w:color w:val="auto"/>
                <w:sz w:val="28"/>
                <w:highlight w:val="none"/>
              </w:rPr>
            </w:pPr>
          </w:p>
        </w:tc>
        <w:tc>
          <w:tcPr>
            <w:tcW w:w="1127" w:type="dxa"/>
            <w:noWrap w:val="0"/>
            <w:vAlign w:val="center"/>
          </w:tcPr>
          <w:p w14:paraId="3BAABCD3">
            <w:pPr>
              <w:spacing w:line="360" w:lineRule="auto"/>
              <w:jc w:val="center"/>
              <w:rPr>
                <w:rFonts w:hint="eastAsia" w:ascii="宋体" w:hAnsi="宋体" w:eastAsia="宋体" w:cs="宋体"/>
                <w:color w:val="auto"/>
                <w:sz w:val="28"/>
                <w:highlight w:val="none"/>
              </w:rPr>
            </w:pPr>
          </w:p>
        </w:tc>
        <w:tc>
          <w:tcPr>
            <w:tcW w:w="896" w:type="dxa"/>
            <w:noWrap w:val="0"/>
            <w:vAlign w:val="center"/>
          </w:tcPr>
          <w:p w14:paraId="5A4276A6">
            <w:pPr>
              <w:spacing w:line="360" w:lineRule="auto"/>
              <w:jc w:val="center"/>
              <w:rPr>
                <w:rFonts w:hint="eastAsia" w:ascii="宋体" w:hAnsi="宋体" w:eastAsia="宋体" w:cs="宋体"/>
                <w:color w:val="auto"/>
                <w:sz w:val="28"/>
                <w:highlight w:val="none"/>
              </w:rPr>
            </w:pPr>
          </w:p>
        </w:tc>
        <w:tc>
          <w:tcPr>
            <w:tcW w:w="896" w:type="dxa"/>
            <w:noWrap w:val="0"/>
            <w:vAlign w:val="center"/>
          </w:tcPr>
          <w:p w14:paraId="215FC4C9">
            <w:pPr>
              <w:spacing w:line="360" w:lineRule="auto"/>
              <w:jc w:val="center"/>
              <w:rPr>
                <w:rFonts w:hint="eastAsia" w:ascii="宋体" w:hAnsi="宋体" w:eastAsia="宋体" w:cs="宋体"/>
                <w:color w:val="auto"/>
                <w:sz w:val="28"/>
                <w:highlight w:val="none"/>
              </w:rPr>
            </w:pPr>
          </w:p>
        </w:tc>
        <w:tc>
          <w:tcPr>
            <w:tcW w:w="2814" w:type="dxa"/>
            <w:noWrap w:val="0"/>
            <w:vAlign w:val="center"/>
          </w:tcPr>
          <w:p w14:paraId="60BE59F8">
            <w:pPr>
              <w:spacing w:line="360" w:lineRule="auto"/>
              <w:jc w:val="center"/>
              <w:rPr>
                <w:rFonts w:hint="eastAsia" w:ascii="宋体" w:hAnsi="宋体" w:eastAsia="宋体" w:cs="宋体"/>
                <w:color w:val="auto"/>
                <w:sz w:val="28"/>
                <w:highlight w:val="none"/>
              </w:rPr>
            </w:pPr>
          </w:p>
        </w:tc>
      </w:tr>
    </w:tbl>
    <w:p w14:paraId="5C7C0C30">
      <w:pPr>
        <w:spacing w:line="360" w:lineRule="auto"/>
        <w:rPr>
          <w:rFonts w:hint="eastAsia" w:ascii="宋体" w:hAnsi="宋体" w:eastAsia="宋体" w:cs="宋体"/>
          <w:b/>
          <w:color w:val="auto"/>
          <w:sz w:val="28"/>
          <w:szCs w:val="30"/>
          <w:highlight w:val="none"/>
        </w:rPr>
      </w:pPr>
    </w:p>
    <w:p w14:paraId="46A5F59D">
      <w:pPr>
        <w:spacing w:line="360" w:lineRule="auto"/>
        <w:jc w:val="center"/>
        <w:rPr>
          <w:rFonts w:hint="eastAsia" w:ascii="宋体" w:hAnsi="宋体" w:eastAsia="宋体" w:cs="宋体"/>
          <w:b/>
          <w:color w:val="auto"/>
          <w:sz w:val="28"/>
          <w:szCs w:val="30"/>
          <w:highlight w:val="none"/>
        </w:rPr>
      </w:pPr>
    </w:p>
    <w:p w14:paraId="10E54079">
      <w:pPr>
        <w:spacing w:line="360" w:lineRule="auto"/>
        <w:jc w:val="center"/>
        <w:rPr>
          <w:rFonts w:hint="eastAsia" w:ascii="宋体" w:hAnsi="宋体" w:eastAsia="宋体" w:cs="宋体"/>
          <w:b/>
          <w:color w:val="auto"/>
          <w:sz w:val="28"/>
          <w:szCs w:val="30"/>
          <w:highlight w:val="none"/>
        </w:rPr>
      </w:pPr>
    </w:p>
    <w:p w14:paraId="2FAD393F">
      <w:pPr>
        <w:pStyle w:val="2"/>
        <w:rPr>
          <w:rFonts w:hint="eastAsia" w:ascii="宋体" w:hAnsi="宋体" w:eastAsia="宋体" w:cs="宋体"/>
          <w:b/>
          <w:color w:val="auto"/>
          <w:sz w:val="28"/>
          <w:szCs w:val="30"/>
          <w:highlight w:val="none"/>
        </w:rPr>
      </w:pPr>
    </w:p>
    <w:p w14:paraId="44F3E1EB">
      <w:pPr>
        <w:rPr>
          <w:rFonts w:hint="eastAsia" w:ascii="宋体" w:hAnsi="宋体" w:eastAsia="宋体" w:cs="宋体"/>
          <w:b/>
          <w:color w:val="auto"/>
          <w:sz w:val="28"/>
          <w:szCs w:val="30"/>
          <w:highlight w:val="none"/>
        </w:rPr>
      </w:pPr>
    </w:p>
    <w:p w14:paraId="4B3ACE96">
      <w:pPr>
        <w:pStyle w:val="2"/>
        <w:rPr>
          <w:rFonts w:hint="eastAsia" w:ascii="宋体" w:hAnsi="宋体" w:eastAsia="宋体" w:cs="宋体"/>
          <w:b/>
          <w:color w:val="auto"/>
          <w:sz w:val="28"/>
          <w:szCs w:val="30"/>
          <w:highlight w:val="none"/>
        </w:rPr>
      </w:pPr>
    </w:p>
    <w:p w14:paraId="6FBF6CD1">
      <w:pPr>
        <w:rPr>
          <w:rFonts w:hint="eastAsia" w:ascii="宋体" w:hAnsi="宋体" w:eastAsia="宋体" w:cs="宋体"/>
          <w:b/>
          <w:color w:val="auto"/>
          <w:sz w:val="28"/>
          <w:szCs w:val="30"/>
          <w:highlight w:val="none"/>
        </w:rPr>
      </w:pPr>
    </w:p>
    <w:p w14:paraId="3C84A6CE">
      <w:pPr>
        <w:pStyle w:val="2"/>
        <w:rPr>
          <w:rFonts w:hint="eastAsia" w:ascii="宋体" w:hAnsi="宋体" w:eastAsia="宋体" w:cs="宋体"/>
          <w:b/>
          <w:color w:val="auto"/>
          <w:sz w:val="28"/>
          <w:szCs w:val="30"/>
          <w:highlight w:val="none"/>
        </w:rPr>
      </w:pPr>
    </w:p>
    <w:p w14:paraId="673B1A35">
      <w:pPr>
        <w:rPr>
          <w:rFonts w:hint="eastAsia" w:ascii="宋体" w:hAnsi="宋体" w:eastAsia="宋体" w:cs="宋体"/>
          <w:b/>
          <w:color w:val="auto"/>
          <w:sz w:val="28"/>
          <w:szCs w:val="30"/>
          <w:highlight w:val="none"/>
        </w:rPr>
      </w:pPr>
    </w:p>
    <w:p w14:paraId="567906EA">
      <w:pPr>
        <w:pStyle w:val="2"/>
        <w:rPr>
          <w:rFonts w:hint="eastAsia" w:ascii="宋体" w:hAnsi="宋体" w:eastAsia="宋体" w:cs="宋体"/>
          <w:b/>
          <w:color w:val="auto"/>
          <w:sz w:val="28"/>
          <w:szCs w:val="30"/>
          <w:highlight w:val="none"/>
        </w:rPr>
      </w:pPr>
    </w:p>
    <w:p w14:paraId="7F12B3BD">
      <w:pPr>
        <w:rPr>
          <w:rFonts w:hint="eastAsia" w:ascii="宋体" w:hAnsi="宋体" w:eastAsia="宋体" w:cs="宋体"/>
          <w:b/>
          <w:color w:val="auto"/>
          <w:sz w:val="28"/>
          <w:szCs w:val="30"/>
          <w:highlight w:val="none"/>
        </w:rPr>
      </w:pPr>
    </w:p>
    <w:p w14:paraId="57A3E532">
      <w:pPr>
        <w:pStyle w:val="2"/>
        <w:rPr>
          <w:rFonts w:hint="eastAsia" w:ascii="宋体" w:hAnsi="宋体" w:eastAsia="宋体" w:cs="宋体"/>
          <w:b/>
          <w:color w:val="auto"/>
          <w:sz w:val="28"/>
          <w:szCs w:val="30"/>
          <w:highlight w:val="none"/>
        </w:rPr>
      </w:pPr>
    </w:p>
    <w:p w14:paraId="6E093290">
      <w:pPr>
        <w:rPr>
          <w:rFonts w:hint="eastAsia" w:ascii="宋体" w:hAnsi="宋体" w:eastAsia="宋体" w:cs="宋体"/>
          <w:b/>
          <w:color w:val="auto"/>
          <w:sz w:val="28"/>
          <w:szCs w:val="30"/>
          <w:highlight w:val="none"/>
        </w:rPr>
      </w:pPr>
    </w:p>
    <w:p w14:paraId="7D62528A">
      <w:pPr>
        <w:pStyle w:val="2"/>
        <w:rPr>
          <w:rFonts w:hint="eastAsia" w:ascii="宋体" w:hAnsi="宋体" w:eastAsia="宋体" w:cs="宋体"/>
          <w:b/>
          <w:color w:val="auto"/>
          <w:sz w:val="28"/>
          <w:szCs w:val="30"/>
          <w:highlight w:val="none"/>
        </w:rPr>
      </w:pPr>
    </w:p>
    <w:p w14:paraId="75EA265C">
      <w:pPr>
        <w:rPr>
          <w:rFonts w:hint="eastAsia" w:ascii="宋体" w:hAnsi="宋体" w:eastAsia="宋体" w:cs="宋体"/>
          <w:b/>
          <w:color w:val="auto"/>
          <w:sz w:val="28"/>
          <w:szCs w:val="30"/>
          <w:highlight w:val="none"/>
        </w:rPr>
      </w:pPr>
    </w:p>
    <w:p w14:paraId="1AAA6AC5">
      <w:pPr>
        <w:pStyle w:val="2"/>
        <w:rPr>
          <w:rFonts w:hint="eastAsia" w:ascii="宋体" w:hAnsi="宋体" w:eastAsia="宋体" w:cs="宋体"/>
          <w:b/>
          <w:color w:val="auto"/>
          <w:sz w:val="28"/>
          <w:szCs w:val="30"/>
          <w:highlight w:val="none"/>
        </w:rPr>
      </w:pPr>
    </w:p>
    <w:p w14:paraId="1B64F9DE">
      <w:pPr>
        <w:rPr>
          <w:rFonts w:hint="eastAsia" w:ascii="宋体" w:hAnsi="宋体" w:eastAsia="宋体" w:cs="宋体"/>
          <w:b/>
          <w:color w:val="auto"/>
          <w:sz w:val="28"/>
          <w:szCs w:val="30"/>
          <w:highlight w:val="none"/>
        </w:rPr>
      </w:pPr>
    </w:p>
    <w:p w14:paraId="1169C722">
      <w:pPr>
        <w:pStyle w:val="2"/>
        <w:rPr>
          <w:rFonts w:hint="eastAsia" w:ascii="宋体" w:hAnsi="宋体" w:eastAsia="宋体" w:cs="宋体"/>
          <w:b/>
          <w:color w:val="auto"/>
          <w:sz w:val="28"/>
          <w:szCs w:val="30"/>
          <w:highlight w:val="none"/>
        </w:rPr>
      </w:pPr>
    </w:p>
    <w:p w14:paraId="5E4E46FF">
      <w:pPr>
        <w:rPr>
          <w:rFonts w:hint="eastAsia" w:ascii="宋体" w:hAnsi="宋体" w:eastAsia="宋体" w:cs="宋体"/>
          <w:b/>
          <w:color w:val="auto"/>
          <w:sz w:val="28"/>
          <w:szCs w:val="30"/>
          <w:highlight w:val="none"/>
        </w:rPr>
      </w:pPr>
    </w:p>
    <w:p w14:paraId="05029052">
      <w:pPr>
        <w:pStyle w:val="2"/>
        <w:rPr>
          <w:rFonts w:hint="eastAsia" w:ascii="宋体" w:hAnsi="宋体" w:eastAsia="宋体" w:cs="宋体"/>
          <w:b/>
          <w:color w:val="auto"/>
          <w:sz w:val="28"/>
          <w:szCs w:val="30"/>
          <w:highlight w:val="none"/>
        </w:rPr>
      </w:pPr>
    </w:p>
    <w:p w14:paraId="376CC436">
      <w:pPr>
        <w:rPr>
          <w:rFonts w:hint="eastAsia"/>
        </w:rPr>
      </w:pPr>
    </w:p>
    <w:p w14:paraId="4861851E">
      <w:pPr>
        <w:spacing w:line="480" w:lineRule="auto"/>
        <w:ind w:firstLine="480"/>
        <w:jc w:val="left"/>
        <w:rPr>
          <w:rFonts w:hint="eastAsia" w:ascii="宋体" w:hAnsi="宋体" w:eastAsia="宋体" w:cs="宋体"/>
          <w:bCs/>
          <w:color w:val="auto"/>
          <w:sz w:val="24"/>
          <w:szCs w:val="24"/>
          <w:highlight w:val="none"/>
        </w:rPr>
      </w:pPr>
    </w:p>
    <w:p w14:paraId="0CF4E6D3">
      <w:pPr>
        <w:spacing w:line="48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767AD086">
      <w:pPr>
        <w:spacing w:line="48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76161169">
      <w:pPr>
        <w:spacing w:line="48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45EB7D40">
      <w:pPr>
        <w:pStyle w:val="21"/>
        <w:spacing w:line="360" w:lineRule="auto"/>
        <w:ind w:firstLine="480"/>
        <w:rPr>
          <w:rFonts w:hint="eastAsia" w:ascii="宋体" w:hAnsi="宋体" w:eastAsia="宋体" w:cs="宋体"/>
          <w:color w:val="auto"/>
          <w:sz w:val="24"/>
          <w:szCs w:val="24"/>
          <w:highlight w:val="none"/>
        </w:rPr>
      </w:pPr>
    </w:p>
    <w:p w14:paraId="167ED8CA">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5FE6152C">
      <w:pPr>
        <w:widowControl/>
        <w:numPr>
          <w:ilvl w:val="0"/>
          <w:numId w:val="0"/>
        </w:numPr>
        <w:spacing w:line="360" w:lineRule="auto"/>
        <w:ind w:left="0" w:firstLine="600"/>
        <w:jc w:val="center"/>
        <w:rPr>
          <w:rFonts w:hint="eastAsia" w:ascii="宋体" w:hAnsi="宋体" w:eastAsia="宋体" w:cs="宋体"/>
          <w:b/>
          <w:bCs/>
          <w:color w:val="auto"/>
          <w:sz w:val="30"/>
          <w:szCs w:val="30"/>
          <w:highlight w:val="none"/>
          <w:lang w:eastAsia="zh-CN" w:bidi="ar"/>
        </w:rPr>
      </w:pPr>
      <w:r>
        <w:rPr>
          <w:rFonts w:hint="eastAsia" w:ascii="宋体" w:hAnsi="宋体" w:eastAsia="宋体" w:cs="宋体"/>
          <w:b/>
          <w:bCs/>
          <w:color w:val="auto"/>
          <w:sz w:val="30"/>
          <w:szCs w:val="30"/>
          <w:highlight w:val="none"/>
          <w:lang w:val="en-US" w:eastAsia="zh-CN" w:bidi="ar"/>
        </w:rPr>
        <w:t>9.2</w:t>
      </w:r>
      <w:r>
        <w:rPr>
          <w:rFonts w:hint="eastAsia" w:ascii="宋体" w:hAnsi="宋体" w:eastAsia="宋体" w:cs="宋体"/>
          <w:b/>
          <w:bCs/>
          <w:color w:val="auto"/>
          <w:sz w:val="30"/>
          <w:szCs w:val="30"/>
          <w:highlight w:val="none"/>
          <w:lang w:eastAsia="zh-CN" w:bidi="ar"/>
        </w:rPr>
        <w:t>商务标</w:t>
      </w:r>
    </w:p>
    <w:p w14:paraId="41013EFF">
      <w:pPr>
        <w:pStyle w:val="21"/>
        <w:numPr>
          <w:ilvl w:val="0"/>
          <w:numId w:val="0"/>
        </w:numPr>
        <w:spacing w:line="480" w:lineRule="auto"/>
        <w:jc w:val="lef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   </w:t>
      </w:r>
    </w:p>
    <w:p w14:paraId="52044E60">
      <w:pPr>
        <w:pStyle w:val="21"/>
        <w:numPr>
          <w:ilvl w:val="0"/>
          <w:numId w:val="0"/>
        </w:numPr>
        <w:spacing w:line="480" w:lineRule="auto"/>
        <w:ind w:firstLine="480" w:firstLineChars="200"/>
        <w:jc w:val="left"/>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lang w:val="en-US" w:eastAsia="zh-CN"/>
        </w:rPr>
        <w:t>人员</w:t>
      </w:r>
      <w:r>
        <w:rPr>
          <w:rFonts w:hint="eastAsia" w:hAnsi="宋体" w:cs="宋体"/>
          <w:color w:val="auto"/>
          <w:sz w:val="24"/>
          <w:szCs w:val="24"/>
          <w:highlight w:val="none"/>
          <w:lang w:val="en-US" w:eastAsia="zh-CN"/>
        </w:rPr>
        <w:t>配备</w:t>
      </w:r>
    </w:p>
    <w:p w14:paraId="04069CB1">
      <w:pPr>
        <w:pStyle w:val="21"/>
        <w:numPr>
          <w:ilvl w:val="0"/>
          <w:numId w:val="0"/>
        </w:numPr>
        <w:spacing w:line="480" w:lineRule="auto"/>
        <w:ind w:firstLine="480" w:firstLineChars="200"/>
        <w:jc w:val="left"/>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企业业绩</w:t>
      </w:r>
    </w:p>
    <w:p w14:paraId="12A3762E">
      <w:pPr>
        <w:widowControl/>
        <w:spacing w:line="360" w:lineRule="auto"/>
        <w:ind w:firstLine="480" w:firstLineChars="200"/>
        <w:jc w:val="left"/>
        <w:rPr>
          <w:rFonts w:hint="default" w:ascii="宋体" w:hAnsi="宋体" w:cs="等线" w:eastAsiaTheme="minorEastAsia"/>
          <w:sz w:val="24"/>
          <w:szCs w:val="24"/>
          <w:lang w:val="en-US" w:eastAsia="zh-CN" w:bidi="ar"/>
        </w:rPr>
      </w:pPr>
      <w:r>
        <w:rPr>
          <w:rFonts w:hint="eastAsia" w:hAnsi="宋体" w:cs="宋体"/>
          <w:color w:val="auto"/>
          <w:sz w:val="24"/>
          <w:szCs w:val="24"/>
          <w:highlight w:val="none"/>
          <w:lang w:val="en-US" w:eastAsia="zh-CN"/>
        </w:rPr>
        <w:t>3、</w:t>
      </w:r>
      <w:r>
        <w:rPr>
          <w:rFonts w:hint="eastAsia" w:ascii="宋体" w:hAnsi="宋体" w:cs="等线"/>
          <w:sz w:val="24"/>
          <w:szCs w:val="24"/>
          <w:lang w:bidi="ar"/>
        </w:rPr>
        <w:t>企业</w:t>
      </w:r>
      <w:r>
        <w:rPr>
          <w:rFonts w:hint="eastAsia" w:ascii="宋体" w:hAnsi="宋体" w:cs="等线"/>
          <w:sz w:val="24"/>
          <w:szCs w:val="24"/>
          <w:lang w:val="en-US" w:eastAsia="zh-CN" w:bidi="ar"/>
        </w:rPr>
        <w:t>具有相关认证</w:t>
      </w:r>
    </w:p>
    <w:p w14:paraId="1B031490">
      <w:pPr>
        <w:widowControl/>
        <w:spacing w:line="360" w:lineRule="auto"/>
        <w:ind w:firstLine="440" w:firstLineChars="200"/>
        <w:jc w:val="left"/>
        <w:rPr>
          <w:rFonts w:hint="eastAsia" w:ascii="宋体" w:hAnsi="宋体" w:cs="等线"/>
          <w:szCs w:val="21"/>
          <w:lang w:val="en-US" w:eastAsia="zh-CN" w:bidi="ar"/>
        </w:rPr>
      </w:pPr>
    </w:p>
    <w:p w14:paraId="601D3B10">
      <w:pPr>
        <w:widowControl/>
        <w:spacing w:line="360" w:lineRule="auto"/>
        <w:jc w:val="center"/>
        <w:rPr>
          <w:rFonts w:hint="eastAsia" w:ascii="宋体" w:hAnsi="宋体" w:cs="等线"/>
          <w:szCs w:val="21"/>
          <w:lang w:val="en-US" w:eastAsia="zh-CN" w:bidi="ar"/>
        </w:rPr>
      </w:pPr>
    </w:p>
    <w:p w14:paraId="5804F227">
      <w:pPr>
        <w:pStyle w:val="21"/>
        <w:numPr>
          <w:ilvl w:val="0"/>
          <w:numId w:val="0"/>
        </w:numPr>
        <w:spacing w:line="480" w:lineRule="auto"/>
        <w:ind w:firstLine="480" w:firstLineChars="200"/>
        <w:jc w:val="left"/>
        <w:rPr>
          <w:rFonts w:hint="eastAsia" w:ascii="宋体" w:hAnsi="宋体" w:eastAsia="宋体" w:cs="宋体"/>
          <w:color w:val="auto"/>
          <w:sz w:val="24"/>
          <w:szCs w:val="24"/>
          <w:highlight w:val="none"/>
        </w:rPr>
      </w:pPr>
    </w:p>
    <w:p w14:paraId="086519B4">
      <w:pPr>
        <w:pStyle w:val="21"/>
        <w:numPr>
          <w:ilvl w:val="0"/>
          <w:numId w:val="0"/>
        </w:numPr>
        <w:spacing w:line="360" w:lineRule="auto"/>
        <w:jc w:val="left"/>
        <w:rPr>
          <w:rFonts w:hint="eastAsia" w:ascii="宋体" w:hAnsi="宋体" w:eastAsia="宋体" w:cs="宋体"/>
          <w:color w:val="auto"/>
          <w:szCs w:val="21"/>
          <w:highlight w:val="none"/>
        </w:rPr>
      </w:pPr>
    </w:p>
    <w:p w14:paraId="7E4F769C">
      <w:pPr>
        <w:pStyle w:val="21"/>
        <w:spacing w:line="360" w:lineRule="auto"/>
        <w:jc w:val="left"/>
        <w:rPr>
          <w:rFonts w:hint="eastAsia" w:ascii="宋体" w:hAnsi="宋体" w:eastAsia="宋体" w:cs="宋体"/>
          <w:color w:val="auto"/>
          <w:sz w:val="21"/>
          <w:szCs w:val="21"/>
          <w:highlight w:val="none"/>
        </w:rPr>
      </w:pPr>
    </w:p>
    <w:p w14:paraId="6F895CD5">
      <w:pPr>
        <w:pStyle w:val="60"/>
        <w:ind w:firstLine="0"/>
        <w:rPr>
          <w:rFonts w:hint="eastAsia" w:ascii="宋体" w:hAnsi="宋体" w:eastAsia="宋体" w:cs="宋体"/>
          <w:color w:val="auto"/>
          <w:highlight w:val="none"/>
          <w:lang w:bidi="ar"/>
        </w:rPr>
      </w:pPr>
    </w:p>
    <w:p w14:paraId="48AF0A13">
      <w:pPr>
        <w:pStyle w:val="60"/>
        <w:spacing w:line="600" w:lineRule="exact"/>
        <w:ind w:firstLine="420"/>
        <w:rPr>
          <w:rFonts w:hint="eastAsia" w:ascii="宋体" w:hAnsi="宋体" w:eastAsia="宋体" w:cs="宋体"/>
          <w:color w:val="auto"/>
          <w:sz w:val="21"/>
          <w:szCs w:val="21"/>
          <w:highlight w:val="none"/>
        </w:rPr>
      </w:pPr>
    </w:p>
    <w:p w14:paraId="37A01372">
      <w:pPr>
        <w:rPr>
          <w:rFonts w:hint="eastAsia" w:ascii="宋体" w:hAnsi="宋体" w:eastAsia="宋体" w:cs="宋体"/>
          <w:color w:val="auto"/>
          <w:highlight w:val="none"/>
        </w:rPr>
      </w:pPr>
    </w:p>
    <w:p w14:paraId="6B7304D6">
      <w:pPr>
        <w:rPr>
          <w:rFonts w:hint="eastAsia" w:ascii="宋体" w:hAnsi="宋体" w:eastAsia="宋体" w:cs="宋体"/>
          <w:color w:val="auto"/>
          <w:highlight w:val="none"/>
        </w:rPr>
      </w:pPr>
    </w:p>
    <w:p w14:paraId="692E7B38">
      <w:pPr>
        <w:pStyle w:val="60"/>
        <w:ind w:firstLine="480"/>
        <w:rPr>
          <w:rFonts w:hint="eastAsia" w:ascii="宋体" w:hAnsi="宋体" w:eastAsia="宋体" w:cs="宋体"/>
          <w:color w:val="auto"/>
          <w:highlight w:val="none"/>
        </w:rPr>
      </w:pPr>
    </w:p>
    <w:p w14:paraId="592EEE6E">
      <w:pPr>
        <w:rPr>
          <w:rFonts w:hint="eastAsia" w:ascii="宋体" w:hAnsi="宋体" w:eastAsia="宋体" w:cs="宋体"/>
          <w:color w:val="auto"/>
          <w:highlight w:val="none"/>
        </w:rPr>
      </w:pPr>
    </w:p>
    <w:p w14:paraId="7C6BF308">
      <w:pPr>
        <w:pStyle w:val="60"/>
        <w:ind w:firstLine="480"/>
        <w:rPr>
          <w:rFonts w:hint="eastAsia" w:ascii="宋体" w:hAnsi="宋体" w:eastAsia="宋体" w:cs="宋体"/>
          <w:color w:val="auto"/>
          <w:highlight w:val="none"/>
        </w:rPr>
      </w:pPr>
    </w:p>
    <w:p w14:paraId="573E99EC">
      <w:pPr>
        <w:rPr>
          <w:rFonts w:hint="eastAsia" w:ascii="宋体" w:hAnsi="宋体" w:eastAsia="宋体" w:cs="宋体"/>
          <w:color w:val="auto"/>
          <w:highlight w:val="none"/>
        </w:rPr>
      </w:pPr>
    </w:p>
    <w:p w14:paraId="4054961E">
      <w:pPr>
        <w:pStyle w:val="60"/>
        <w:ind w:firstLine="480"/>
        <w:rPr>
          <w:rFonts w:hint="eastAsia" w:ascii="宋体" w:hAnsi="宋体" w:eastAsia="宋体" w:cs="宋体"/>
          <w:color w:val="auto"/>
          <w:highlight w:val="none"/>
        </w:rPr>
      </w:pPr>
    </w:p>
    <w:p w14:paraId="23822086">
      <w:pPr>
        <w:rPr>
          <w:rFonts w:hint="eastAsia" w:ascii="宋体" w:hAnsi="宋体" w:eastAsia="宋体" w:cs="宋体"/>
          <w:color w:val="auto"/>
          <w:highlight w:val="none"/>
        </w:rPr>
      </w:pPr>
    </w:p>
    <w:p w14:paraId="360E7356">
      <w:pPr>
        <w:pStyle w:val="60"/>
        <w:ind w:firstLine="480"/>
        <w:rPr>
          <w:rFonts w:hint="eastAsia" w:ascii="宋体" w:hAnsi="宋体" w:eastAsia="宋体" w:cs="宋体"/>
          <w:color w:val="auto"/>
          <w:highlight w:val="none"/>
        </w:rPr>
      </w:pPr>
    </w:p>
    <w:p w14:paraId="5D25D692">
      <w:pPr>
        <w:rPr>
          <w:rFonts w:hint="eastAsia" w:ascii="宋体" w:hAnsi="宋体" w:eastAsia="宋体" w:cs="宋体"/>
          <w:color w:val="auto"/>
          <w:highlight w:val="none"/>
        </w:rPr>
      </w:pPr>
    </w:p>
    <w:p w14:paraId="62AE1606">
      <w:pPr>
        <w:pStyle w:val="60"/>
        <w:ind w:firstLine="480"/>
        <w:rPr>
          <w:rFonts w:hint="eastAsia" w:ascii="宋体" w:hAnsi="宋体" w:eastAsia="宋体" w:cs="宋体"/>
          <w:color w:val="auto"/>
          <w:highlight w:val="none"/>
        </w:rPr>
      </w:pPr>
    </w:p>
    <w:p w14:paraId="6EA59DD7">
      <w:pPr>
        <w:rPr>
          <w:rFonts w:hint="eastAsia" w:ascii="宋体" w:hAnsi="宋体" w:eastAsia="宋体" w:cs="宋体"/>
          <w:color w:val="auto"/>
          <w:highlight w:val="none"/>
        </w:rPr>
      </w:pPr>
    </w:p>
    <w:p w14:paraId="341DDF3D">
      <w:pPr>
        <w:pStyle w:val="60"/>
        <w:ind w:firstLine="480"/>
        <w:rPr>
          <w:rFonts w:hint="eastAsia" w:ascii="宋体" w:hAnsi="宋体" w:eastAsia="宋体" w:cs="宋体"/>
          <w:color w:val="auto"/>
          <w:highlight w:val="none"/>
        </w:rPr>
      </w:pPr>
    </w:p>
    <w:p w14:paraId="66501141">
      <w:pPr>
        <w:rPr>
          <w:rFonts w:hint="eastAsia" w:ascii="宋体" w:hAnsi="宋体" w:eastAsia="宋体" w:cs="宋体"/>
          <w:color w:val="auto"/>
          <w:highlight w:val="none"/>
        </w:rPr>
      </w:pPr>
    </w:p>
    <w:p w14:paraId="54873346">
      <w:pPr>
        <w:pStyle w:val="60"/>
        <w:ind w:firstLine="480"/>
        <w:rPr>
          <w:rFonts w:hint="eastAsia" w:ascii="宋体" w:hAnsi="宋体" w:eastAsia="宋体" w:cs="宋体"/>
          <w:color w:val="auto"/>
          <w:highlight w:val="none"/>
        </w:rPr>
      </w:pPr>
    </w:p>
    <w:p w14:paraId="2932201E">
      <w:pPr>
        <w:rPr>
          <w:rFonts w:hint="eastAsia" w:ascii="宋体" w:hAnsi="宋体" w:eastAsia="宋体" w:cs="宋体"/>
          <w:color w:val="auto"/>
          <w:highlight w:val="none"/>
        </w:rPr>
      </w:pPr>
    </w:p>
    <w:p w14:paraId="42D4F567">
      <w:pPr>
        <w:pStyle w:val="60"/>
        <w:ind w:firstLine="480"/>
        <w:rPr>
          <w:rFonts w:hint="eastAsia" w:ascii="宋体" w:hAnsi="宋体" w:eastAsia="宋体" w:cs="宋体"/>
          <w:color w:val="auto"/>
          <w:highlight w:val="none"/>
        </w:rPr>
      </w:pPr>
    </w:p>
    <w:p w14:paraId="0F24DE0E">
      <w:pPr>
        <w:rPr>
          <w:rFonts w:hint="eastAsia" w:ascii="宋体" w:hAnsi="宋体" w:eastAsia="宋体" w:cs="宋体"/>
          <w:color w:val="auto"/>
          <w:highlight w:val="none"/>
        </w:rPr>
      </w:pPr>
    </w:p>
    <w:p w14:paraId="61335975">
      <w:pPr>
        <w:pStyle w:val="60"/>
        <w:ind w:firstLine="480"/>
        <w:rPr>
          <w:rFonts w:hint="eastAsia" w:ascii="宋体" w:hAnsi="宋体" w:eastAsia="宋体" w:cs="宋体"/>
          <w:color w:val="auto"/>
          <w:highlight w:val="none"/>
        </w:rPr>
      </w:pPr>
    </w:p>
    <w:p w14:paraId="7E31D11B">
      <w:pPr>
        <w:rPr>
          <w:rFonts w:hint="eastAsia" w:ascii="宋体" w:hAnsi="宋体" w:eastAsia="宋体" w:cs="宋体"/>
          <w:color w:val="auto"/>
          <w:highlight w:val="none"/>
        </w:rPr>
      </w:pPr>
    </w:p>
    <w:p w14:paraId="3B7B6703">
      <w:pPr>
        <w:pStyle w:val="60"/>
        <w:ind w:firstLine="480"/>
        <w:rPr>
          <w:rFonts w:hint="eastAsia" w:ascii="宋体" w:hAnsi="宋体" w:eastAsia="宋体" w:cs="宋体"/>
          <w:color w:val="auto"/>
          <w:highlight w:val="none"/>
        </w:rPr>
      </w:pPr>
    </w:p>
    <w:p w14:paraId="05438470">
      <w:pPr>
        <w:rPr>
          <w:rFonts w:hint="eastAsia" w:ascii="宋体" w:hAnsi="宋体" w:eastAsia="宋体" w:cs="宋体"/>
          <w:color w:val="auto"/>
          <w:highlight w:val="none"/>
        </w:rPr>
      </w:pPr>
    </w:p>
    <w:p w14:paraId="39AC37C9">
      <w:pPr>
        <w:pStyle w:val="60"/>
        <w:ind w:firstLine="480"/>
        <w:rPr>
          <w:rFonts w:hint="eastAsia" w:ascii="宋体" w:hAnsi="宋体" w:eastAsia="宋体" w:cs="宋体"/>
          <w:color w:val="auto"/>
          <w:highlight w:val="none"/>
        </w:rPr>
      </w:pPr>
    </w:p>
    <w:p w14:paraId="439557F2">
      <w:pPr>
        <w:rPr>
          <w:rFonts w:hint="eastAsia" w:ascii="宋体" w:hAnsi="宋体" w:eastAsia="宋体" w:cs="宋体"/>
          <w:color w:val="auto"/>
          <w:highlight w:val="none"/>
        </w:rPr>
      </w:pPr>
    </w:p>
    <w:p w14:paraId="69847AD3">
      <w:pPr>
        <w:pStyle w:val="16"/>
        <w:rPr>
          <w:rFonts w:hint="eastAsia" w:ascii="宋体" w:hAnsi="宋体" w:eastAsia="宋体" w:cs="宋体"/>
          <w:color w:val="auto"/>
          <w:highlight w:val="none"/>
        </w:rPr>
      </w:pPr>
    </w:p>
    <w:p w14:paraId="6C91B66A">
      <w:pPr>
        <w:rPr>
          <w:rFonts w:hint="eastAsia" w:ascii="宋体" w:hAnsi="宋体" w:eastAsia="宋体" w:cs="宋体"/>
          <w:color w:val="auto"/>
          <w:highlight w:val="none"/>
        </w:rPr>
      </w:pPr>
    </w:p>
    <w:p w14:paraId="367B756D">
      <w:pPr>
        <w:pStyle w:val="16"/>
        <w:rPr>
          <w:rFonts w:hint="eastAsia" w:ascii="宋体" w:hAnsi="宋体" w:eastAsia="宋体" w:cs="宋体"/>
          <w:color w:val="auto"/>
          <w:highlight w:val="none"/>
        </w:rPr>
      </w:pPr>
    </w:p>
    <w:p w14:paraId="0238A94B">
      <w:pPr>
        <w:rPr>
          <w:rFonts w:hint="eastAsia" w:ascii="宋体" w:hAnsi="宋体" w:eastAsia="宋体" w:cs="宋体"/>
          <w:color w:val="auto"/>
          <w:highlight w:val="none"/>
        </w:rPr>
      </w:pPr>
    </w:p>
    <w:p w14:paraId="77F48FB6">
      <w:pPr>
        <w:pStyle w:val="16"/>
        <w:rPr>
          <w:rFonts w:hint="eastAsia" w:ascii="宋体" w:hAnsi="宋体" w:eastAsia="宋体" w:cs="宋体"/>
          <w:color w:val="auto"/>
          <w:highlight w:val="none"/>
        </w:rPr>
      </w:pPr>
    </w:p>
    <w:p w14:paraId="0894FE5E">
      <w:pPr>
        <w:rPr>
          <w:rFonts w:hint="eastAsia" w:ascii="宋体" w:hAnsi="宋体" w:eastAsia="宋体" w:cs="宋体"/>
          <w:color w:val="auto"/>
          <w:highlight w:val="none"/>
        </w:rPr>
      </w:pPr>
    </w:p>
    <w:p w14:paraId="5A617377">
      <w:pPr>
        <w:pStyle w:val="16"/>
        <w:rPr>
          <w:rFonts w:hint="eastAsia" w:ascii="宋体" w:hAnsi="宋体" w:eastAsia="宋体" w:cs="宋体"/>
          <w:color w:val="auto"/>
          <w:highlight w:val="none"/>
        </w:rPr>
      </w:pPr>
    </w:p>
    <w:p w14:paraId="65F851C4">
      <w:pPr>
        <w:rPr>
          <w:rFonts w:hint="eastAsia" w:ascii="宋体" w:hAnsi="宋体" w:eastAsia="宋体" w:cs="宋体"/>
          <w:color w:val="auto"/>
          <w:highlight w:val="none"/>
        </w:rPr>
      </w:pPr>
    </w:p>
    <w:p w14:paraId="63CE40D5">
      <w:pPr>
        <w:rPr>
          <w:rFonts w:hint="eastAsia" w:ascii="宋体" w:hAnsi="宋体" w:eastAsia="宋体" w:cs="宋体"/>
          <w:color w:val="auto"/>
          <w:highlight w:val="none"/>
        </w:rPr>
      </w:pPr>
    </w:p>
    <w:p w14:paraId="7964478E">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类似项目业绩一览表</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2BE1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04C6678">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序号</w:t>
            </w:r>
          </w:p>
        </w:tc>
        <w:tc>
          <w:tcPr>
            <w:tcW w:w="2439" w:type="dxa"/>
            <w:noWrap w:val="0"/>
            <w:vAlign w:val="center"/>
          </w:tcPr>
          <w:p w14:paraId="5CD32799">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项目名称</w:t>
            </w:r>
          </w:p>
        </w:tc>
        <w:tc>
          <w:tcPr>
            <w:tcW w:w="2135" w:type="dxa"/>
            <w:noWrap w:val="0"/>
            <w:vAlign w:val="center"/>
          </w:tcPr>
          <w:p w14:paraId="5F54C3A0">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签订时间</w:t>
            </w:r>
          </w:p>
        </w:tc>
        <w:tc>
          <w:tcPr>
            <w:tcW w:w="1358" w:type="dxa"/>
            <w:noWrap w:val="0"/>
            <w:vAlign w:val="center"/>
          </w:tcPr>
          <w:p w14:paraId="4F2FCF73">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建设单位</w:t>
            </w:r>
          </w:p>
        </w:tc>
        <w:tc>
          <w:tcPr>
            <w:tcW w:w="2418" w:type="dxa"/>
            <w:noWrap w:val="0"/>
            <w:vAlign w:val="center"/>
          </w:tcPr>
          <w:p w14:paraId="23430472">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合同金额</w:t>
            </w:r>
          </w:p>
        </w:tc>
      </w:tr>
      <w:tr w14:paraId="368D6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04CC9151">
            <w:pPr>
              <w:spacing w:line="360" w:lineRule="auto"/>
              <w:jc w:val="center"/>
              <w:rPr>
                <w:rFonts w:hint="eastAsia" w:ascii="宋体" w:hAnsi="宋体" w:eastAsia="宋体" w:cs="宋体"/>
                <w:color w:val="auto"/>
                <w:sz w:val="28"/>
                <w:highlight w:val="none"/>
              </w:rPr>
            </w:pPr>
          </w:p>
        </w:tc>
        <w:tc>
          <w:tcPr>
            <w:tcW w:w="2439" w:type="dxa"/>
            <w:noWrap w:val="0"/>
            <w:vAlign w:val="center"/>
          </w:tcPr>
          <w:p w14:paraId="6F9E39E6">
            <w:pPr>
              <w:spacing w:line="360" w:lineRule="auto"/>
              <w:jc w:val="center"/>
              <w:rPr>
                <w:rFonts w:hint="eastAsia" w:ascii="宋体" w:hAnsi="宋体" w:eastAsia="宋体" w:cs="宋体"/>
                <w:color w:val="auto"/>
                <w:sz w:val="28"/>
                <w:highlight w:val="none"/>
              </w:rPr>
            </w:pPr>
          </w:p>
        </w:tc>
        <w:tc>
          <w:tcPr>
            <w:tcW w:w="2135" w:type="dxa"/>
            <w:noWrap w:val="0"/>
            <w:vAlign w:val="center"/>
          </w:tcPr>
          <w:p w14:paraId="2FF85F6E">
            <w:pPr>
              <w:spacing w:line="360" w:lineRule="auto"/>
              <w:jc w:val="center"/>
              <w:rPr>
                <w:rFonts w:hint="eastAsia" w:ascii="宋体" w:hAnsi="宋体" w:eastAsia="宋体" w:cs="宋体"/>
                <w:color w:val="auto"/>
                <w:sz w:val="28"/>
                <w:highlight w:val="none"/>
              </w:rPr>
            </w:pPr>
          </w:p>
        </w:tc>
        <w:tc>
          <w:tcPr>
            <w:tcW w:w="1358" w:type="dxa"/>
            <w:noWrap w:val="0"/>
            <w:vAlign w:val="center"/>
          </w:tcPr>
          <w:p w14:paraId="473AAEF2">
            <w:pPr>
              <w:spacing w:line="360" w:lineRule="auto"/>
              <w:jc w:val="center"/>
              <w:rPr>
                <w:rFonts w:hint="eastAsia" w:ascii="宋体" w:hAnsi="宋体" w:eastAsia="宋体" w:cs="宋体"/>
                <w:color w:val="auto"/>
                <w:sz w:val="28"/>
                <w:highlight w:val="none"/>
              </w:rPr>
            </w:pPr>
          </w:p>
        </w:tc>
        <w:tc>
          <w:tcPr>
            <w:tcW w:w="2418" w:type="dxa"/>
            <w:noWrap w:val="0"/>
            <w:vAlign w:val="center"/>
          </w:tcPr>
          <w:p w14:paraId="401C488A">
            <w:pPr>
              <w:spacing w:line="360" w:lineRule="auto"/>
              <w:jc w:val="center"/>
              <w:rPr>
                <w:rFonts w:hint="eastAsia" w:ascii="宋体" w:hAnsi="宋体" w:eastAsia="宋体" w:cs="宋体"/>
                <w:color w:val="auto"/>
                <w:sz w:val="28"/>
                <w:highlight w:val="none"/>
              </w:rPr>
            </w:pPr>
          </w:p>
        </w:tc>
      </w:tr>
      <w:tr w14:paraId="6E708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060F8E41">
            <w:pPr>
              <w:spacing w:line="360" w:lineRule="auto"/>
              <w:jc w:val="center"/>
              <w:rPr>
                <w:rFonts w:hint="eastAsia" w:ascii="宋体" w:hAnsi="宋体" w:eastAsia="宋体" w:cs="宋体"/>
                <w:color w:val="auto"/>
                <w:sz w:val="28"/>
                <w:highlight w:val="none"/>
              </w:rPr>
            </w:pPr>
          </w:p>
        </w:tc>
        <w:tc>
          <w:tcPr>
            <w:tcW w:w="2439" w:type="dxa"/>
            <w:noWrap w:val="0"/>
            <w:vAlign w:val="center"/>
          </w:tcPr>
          <w:p w14:paraId="41E585BF">
            <w:pPr>
              <w:spacing w:line="360" w:lineRule="auto"/>
              <w:jc w:val="center"/>
              <w:rPr>
                <w:rFonts w:hint="eastAsia" w:ascii="宋体" w:hAnsi="宋体" w:eastAsia="宋体" w:cs="宋体"/>
                <w:color w:val="auto"/>
                <w:sz w:val="28"/>
                <w:highlight w:val="none"/>
              </w:rPr>
            </w:pPr>
          </w:p>
        </w:tc>
        <w:tc>
          <w:tcPr>
            <w:tcW w:w="2135" w:type="dxa"/>
            <w:noWrap w:val="0"/>
            <w:vAlign w:val="center"/>
          </w:tcPr>
          <w:p w14:paraId="4D54E7A7">
            <w:pPr>
              <w:spacing w:line="360" w:lineRule="auto"/>
              <w:jc w:val="center"/>
              <w:rPr>
                <w:rFonts w:hint="eastAsia" w:ascii="宋体" w:hAnsi="宋体" w:eastAsia="宋体" w:cs="宋体"/>
                <w:color w:val="auto"/>
                <w:sz w:val="28"/>
                <w:highlight w:val="none"/>
              </w:rPr>
            </w:pPr>
          </w:p>
        </w:tc>
        <w:tc>
          <w:tcPr>
            <w:tcW w:w="1358" w:type="dxa"/>
            <w:noWrap w:val="0"/>
            <w:vAlign w:val="center"/>
          </w:tcPr>
          <w:p w14:paraId="38C02986">
            <w:pPr>
              <w:spacing w:line="360" w:lineRule="auto"/>
              <w:jc w:val="center"/>
              <w:rPr>
                <w:rFonts w:hint="eastAsia" w:ascii="宋体" w:hAnsi="宋体" w:eastAsia="宋体" w:cs="宋体"/>
                <w:color w:val="auto"/>
                <w:sz w:val="28"/>
                <w:highlight w:val="none"/>
              </w:rPr>
            </w:pPr>
          </w:p>
        </w:tc>
        <w:tc>
          <w:tcPr>
            <w:tcW w:w="2418" w:type="dxa"/>
            <w:noWrap w:val="0"/>
            <w:vAlign w:val="center"/>
          </w:tcPr>
          <w:p w14:paraId="0029B36D">
            <w:pPr>
              <w:spacing w:line="360" w:lineRule="auto"/>
              <w:jc w:val="center"/>
              <w:rPr>
                <w:rFonts w:hint="eastAsia" w:ascii="宋体" w:hAnsi="宋体" w:eastAsia="宋体" w:cs="宋体"/>
                <w:color w:val="auto"/>
                <w:sz w:val="28"/>
                <w:highlight w:val="none"/>
              </w:rPr>
            </w:pPr>
          </w:p>
        </w:tc>
      </w:tr>
      <w:tr w14:paraId="48746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5772A5F4">
            <w:pPr>
              <w:spacing w:line="360" w:lineRule="auto"/>
              <w:jc w:val="center"/>
              <w:rPr>
                <w:rFonts w:hint="eastAsia" w:ascii="宋体" w:hAnsi="宋体" w:eastAsia="宋体" w:cs="宋体"/>
                <w:color w:val="auto"/>
                <w:sz w:val="28"/>
                <w:highlight w:val="none"/>
              </w:rPr>
            </w:pPr>
          </w:p>
        </w:tc>
        <w:tc>
          <w:tcPr>
            <w:tcW w:w="2439" w:type="dxa"/>
            <w:noWrap w:val="0"/>
            <w:vAlign w:val="center"/>
          </w:tcPr>
          <w:p w14:paraId="78D6FCBE">
            <w:pPr>
              <w:spacing w:line="360" w:lineRule="auto"/>
              <w:jc w:val="center"/>
              <w:rPr>
                <w:rFonts w:hint="eastAsia" w:ascii="宋体" w:hAnsi="宋体" w:eastAsia="宋体" w:cs="宋体"/>
                <w:color w:val="auto"/>
                <w:sz w:val="28"/>
                <w:highlight w:val="none"/>
              </w:rPr>
            </w:pPr>
          </w:p>
        </w:tc>
        <w:tc>
          <w:tcPr>
            <w:tcW w:w="2135" w:type="dxa"/>
            <w:noWrap w:val="0"/>
            <w:vAlign w:val="center"/>
          </w:tcPr>
          <w:p w14:paraId="7522373F">
            <w:pPr>
              <w:spacing w:line="360" w:lineRule="auto"/>
              <w:jc w:val="center"/>
              <w:rPr>
                <w:rFonts w:hint="eastAsia" w:ascii="宋体" w:hAnsi="宋体" w:eastAsia="宋体" w:cs="宋体"/>
                <w:color w:val="auto"/>
                <w:sz w:val="28"/>
                <w:highlight w:val="none"/>
              </w:rPr>
            </w:pPr>
          </w:p>
        </w:tc>
        <w:tc>
          <w:tcPr>
            <w:tcW w:w="1358" w:type="dxa"/>
            <w:noWrap w:val="0"/>
            <w:vAlign w:val="center"/>
          </w:tcPr>
          <w:p w14:paraId="43FF5691">
            <w:pPr>
              <w:spacing w:line="360" w:lineRule="auto"/>
              <w:jc w:val="center"/>
              <w:rPr>
                <w:rFonts w:hint="eastAsia" w:ascii="宋体" w:hAnsi="宋体" w:eastAsia="宋体" w:cs="宋体"/>
                <w:color w:val="auto"/>
                <w:sz w:val="28"/>
                <w:highlight w:val="none"/>
              </w:rPr>
            </w:pPr>
          </w:p>
        </w:tc>
        <w:tc>
          <w:tcPr>
            <w:tcW w:w="2418" w:type="dxa"/>
            <w:noWrap w:val="0"/>
            <w:vAlign w:val="center"/>
          </w:tcPr>
          <w:p w14:paraId="245E7A6A">
            <w:pPr>
              <w:spacing w:line="360" w:lineRule="auto"/>
              <w:jc w:val="center"/>
              <w:rPr>
                <w:rFonts w:hint="eastAsia" w:ascii="宋体" w:hAnsi="宋体" w:eastAsia="宋体" w:cs="宋体"/>
                <w:color w:val="auto"/>
                <w:sz w:val="28"/>
                <w:highlight w:val="none"/>
              </w:rPr>
            </w:pPr>
          </w:p>
        </w:tc>
      </w:tr>
      <w:tr w14:paraId="559C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21907FF">
            <w:pPr>
              <w:spacing w:line="360" w:lineRule="auto"/>
              <w:jc w:val="center"/>
              <w:rPr>
                <w:rFonts w:hint="eastAsia" w:ascii="宋体" w:hAnsi="宋体" w:eastAsia="宋体" w:cs="宋体"/>
                <w:color w:val="auto"/>
                <w:sz w:val="28"/>
                <w:highlight w:val="none"/>
              </w:rPr>
            </w:pPr>
          </w:p>
        </w:tc>
        <w:tc>
          <w:tcPr>
            <w:tcW w:w="2439" w:type="dxa"/>
            <w:noWrap w:val="0"/>
            <w:vAlign w:val="center"/>
          </w:tcPr>
          <w:p w14:paraId="165C648F">
            <w:pPr>
              <w:spacing w:line="360" w:lineRule="auto"/>
              <w:jc w:val="center"/>
              <w:rPr>
                <w:rFonts w:hint="eastAsia" w:ascii="宋体" w:hAnsi="宋体" w:eastAsia="宋体" w:cs="宋体"/>
                <w:color w:val="auto"/>
                <w:sz w:val="28"/>
                <w:highlight w:val="none"/>
              </w:rPr>
            </w:pPr>
          </w:p>
        </w:tc>
        <w:tc>
          <w:tcPr>
            <w:tcW w:w="2135" w:type="dxa"/>
            <w:noWrap w:val="0"/>
            <w:vAlign w:val="center"/>
          </w:tcPr>
          <w:p w14:paraId="05EA60F1">
            <w:pPr>
              <w:spacing w:line="360" w:lineRule="auto"/>
              <w:jc w:val="center"/>
              <w:rPr>
                <w:rFonts w:hint="eastAsia" w:ascii="宋体" w:hAnsi="宋体" w:eastAsia="宋体" w:cs="宋体"/>
                <w:color w:val="auto"/>
                <w:sz w:val="28"/>
                <w:highlight w:val="none"/>
              </w:rPr>
            </w:pPr>
          </w:p>
        </w:tc>
        <w:tc>
          <w:tcPr>
            <w:tcW w:w="1358" w:type="dxa"/>
            <w:noWrap w:val="0"/>
            <w:vAlign w:val="center"/>
          </w:tcPr>
          <w:p w14:paraId="374AD72A">
            <w:pPr>
              <w:spacing w:line="360" w:lineRule="auto"/>
              <w:jc w:val="center"/>
              <w:rPr>
                <w:rFonts w:hint="eastAsia" w:ascii="宋体" w:hAnsi="宋体" w:eastAsia="宋体" w:cs="宋体"/>
                <w:color w:val="auto"/>
                <w:sz w:val="28"/>
                <w:highlight w:val="none"/>
              </w:rPr>
            </w:pPr>
          </w:p>
        </w:tc>
        <w:tc>
          <w:tcPr>
            <w:tcW w:w="2418" w:type="dxa"/>
            <w:noWrap w:val="0"/>
            <w:vAlign w:val="center"/>
          </w:tcPr>
          <w:p w14:paraId="5242958C">
            <w:pPr>
              <w:spacing w:line="360" w:lineRule="auto"/>
              <w:jc w:val="center"/>
              <w:rPr>
                <w:rFonts w:hint="eastAsia" w:ascii="宋体" w:hAnsi="宋体" w:eastAsia="宋体" w:cs="宋体"/>
                <w:color w:val="auto"/>
                <w:sz w:val="28"/>
                <w:highlight w:val="none"/>
              </w:rPr>
            </w:pPr>
          </w:p>
        </w:tc>
      </w:tr>
      <w:tr w14:paraId="79BB5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73FD219">
            <w:pPr>
              <w:spacing w:line="360" w:lineRule="auto"/>
              <w:jc w:val="center"/>
              <w:rPr>
                <w:rFonts w:hint="eastAsia" w:ascii="宋体" w:hAnsi="宋体" w:eastAsia="宋体" w:cs="宋体"/>
                <w:color w:val="auto"/>
                <w:sz w:val="28"/>
                <w:highlight w:val="none"/>
              </w:rPr>
            </w:pPr>
          </w:p>
        </w:tc>
        <w:tc>
          <w:tcPr>
            <w:tcW w:w="2439" w:type="dxa"/>
            <w:noWrap w:val="0"/>
            <w:vAlign w:val="center"/>
          </w:tcPr>
          <w:p w14:paraId="1409426E">
            <w:pPr>
              <w:spacing w:line="360" w:lineRule="auto"/>
              <w:jc w:val="center"/>
              <w:rPr>
                <w:rFonts w:hint="eastAsia" w:ascii="宋体" w:hAnsi="宋体" w:eastAsia="宋体" w:cs="宋体"/>
                <w:color w:val="auto"/>
                <w:sz w:val="28"/>
                <w:highlight w:val="none"/>
              </w:rPr>
            </w:pPr>
          </w:p>
        </w:tc>
        <w:tc>
          <w:tcPr>
            <w:tcW w:w="2135" w:type="dxa"/>
            <w:noWrap w:val="0"/>
            <w:vAlign w:val="center"/>
          </w:tcPr>
          <w:p w14:paraId="20A4C7B8">
            <w:pPr>
              <w:spacing w:line="360" w:lineRule="auto"/>
              <w:jc w:val="center"/>
              <w:rPr>
                <w:rFonts w:hint="eastAsia" w:ascii="宋体" w:hAnsi="宋体" w:eastAsia="宋体" w:cs="宋体"/>
                <w:color w:val="auto"/>
                <w:sz w:val="28"/>
                <w:highlight w:val="none"/>
              </w:rPr>
            </w:pPr>
          </w:p>
        </w:tc>
        <w:tc>
          <w:tcPr>
            <w:tcW w:w="1358" w:type="dxa"/>
            <w:noWrap w:val="0"/>
            <w:vAlign w:val="center"/>
          </w:tcPr>
          <w:p w14:paraId="4FE5497C">
            <w:pPr>
              <w:spacing w:line="360" w:lineRule="auto"/>
              <w:jc w:val="center"/>
              <w:rPr>
                <w:rFonts w:hint="eastAsia" w:ascii="宋体" w:hAnsi="宋体" w:eastAsia="宋体" w:cs="宋体"/>
                <w:color w:val="auto"/>
                <w:sz w:val="28"/>
                <w:highlight w:val="none"/>
              </w:rPr>
            </w:pPr>
          </w:p>
        </w:tc>
        <w:tc>
          <w:tcPr>
            <w:tcW w:w="2418" w:type="dxa"/>
            <w:noWrap w:val="0"/>
            <w:vAlign w:val="center"/>
          </w:tcPr>
          <w:p w14:paraId="34B87804">
            <w:pPr>
              <w:spacing w:line="360" w:lineRule="auto"/>
              <w:jc w:val="center"/>
              <w:rPr>
                <w:rFonts w:hint="eastAsia" w:ascii="宋体" w:hAnsi="宋体" w:eastAsia="宋体" w:cs="宋体"/>
                <w:color w:val="auto"/>
                <w:sz w:val="28"/>
                <w:highlight w:val="none"/>
              </w:rPr>
            </w:pPr>
          </w:p>
        </w:tc>
      </w:tr>
      <w:tr w14:paraId="3372A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0B1C02E2">
            <w:pPr>
              <w:spacing w:line="360" w:lineRule="auto"/>
              <w:jc w:val="center"/>
              <w:rPr>
                <w:rFonts w:hint="eastAsia" w:ascii="宋体" w:hAnsi="宋体" w:eastAsia="宋体" w:cs="宋体"/>
                <w:color w:val="auto"/>
                <w:sz w:val="28"/>
                <w:highlight w:val="none"/>
              </w:rPr>
            </w:pPr>
          </w:p>
        </w:tc>
        <w:tc>
          <w:tcPr>
            <w:tcW w:w="2439" w:type="dxa"/>
            <w:noWrap w:val="0"/>
            <w:vAlign w:val="center"/>
          </w:tcPr>
          <w:p w14:paraId="6656FC08">
            <w:pPr>
              <w:spacing w:line="360" w:lineRule="auto"/>
              <w:jc w:val="center"/>
              <w:rPr>
                <w:rFonts w:hint="eastAsia" w:ascii="宋体" w:hAnsi="宋体" w:eastAsia="宋体" w:cs="宋体"/>
                <w:color w:val="auto"/>
                <w:sz w:val="28"/>
                <w:highlight w:val="none"/>
              </w:rPr>
            </w:pPr>
          </w:p>
        </w:tc>
        <w:tc>
          <w:tcPr>
            <w:tcW w:w="2135" w:type="dxa"/>
            <w:noWrap w:val="0"/>
            <w:vAlign w:val="center"/>
          </w:tcPr>
          <w:p w14:paraId="0645FDC0">
            <w:pPr>
              <w:spacing w:line="360" w:lineRule="auto"/>
              <w:jc w:val="center"/>
              <w:rPr>
                <w:rFonts w:hint="eastAsia" w:ascii="宋体" w:hAnsi="宋体" w:eastAsia="宋体" w:cs="宋体"/>
                <w:color w:val="auto"/>
                <w:sz w:val="28"/>
                <w:highlight w:val="none"/>
              </w:rPr>
            </w:pPr>
          </w:p>
        </w:tc>
        <w:tc>
          <w:tcPr>
            <w:tcW w:w="1358" w:type="dxa"/>
            <w:noWrap w:val="0"/>
            <w:vAlign w:val="center"/>
          </w:tcPr>
          <w:p w14:paraId="30786A6E">
            <w:pPr>
              <w:spacing w:line="360" w:lineRule="auto"/>
              <w:jc w:val="center"/>
              <w:rPr>
                <w:rFonts w:hint="eastAsia" w:ascii="宋体" w:hAnsi="宋体" w:eastAsia="宋体" w:cs="宋体"/>
                <w:color w:val="auto"/>
                <w:sz w:val="28"/>
                <w:highlight w:val="none"/>
              </w:rPr>
            </w:pPr>
          </w:p>
        </w:tc>
        <w:tc>
          <w:tcPr>
            <w:tcW w:w="2418" w:type="dxa"/>
            <w:noWrap w:val="0"/>
            <w:vAlign w:val="center"/>
          </w:tcPr>
          <w:p w14:paraId="45C78D87">
            <w:pPr>
              <w:spacing w:line="360" w:lineRule="auto"/>
              <w:jc w:val="center"/>
              <w:rPr>
                <w:rFonts w:hint="eastAsia" w:ascii="宋体" w:hAnsi="宋体" w:eastAsia="宋体" w:cs="宋体"/>
                <w:color w:val="auto"/>
                <w:sz w:val="28"/>
                <w:highlight w:val="none"/>
              </w:rPr>
            </w:pPr>
          </w:p>
        </w:tc>
      </w:tr>
      <w:tr w14:paraId="5FEFB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5A78D62">
            <w:pPr>
              <w:spacing w:line="360" w:lineRule="auto"/>
              <w:jc w:val="center"/>
              <w:rPr>
                <w:rFonts w:hint="eastAsia" w:ascii="宋体" w:hAnsi="宋体" w:eastAsia="宋体" w:cs="宋体"/>
                <w:color w:val="auto"/>
                <w:sz w:val="28"/>
                <w:highlight w:val="none"/>
              </w:rPr>
            </w:pPr>
          </w:p>
        </w:tc>
        <w:tc>
          <w:tcPr>
            <w:tcW w:w="2439" w:type="dxa"/>
            <w:noWrap w:val="0"/>
            <w:vAlign w:val="center"/>
          </w:tcPr>
          <w:p w14:paraId="55F27E36">
            <w:pPr>
              <w:spacing w:line="360" w:lineRule="auto"/>
              <w:jc w:val="center"/>
              <w:rPr>
                <w:rFonts w:hint="eastAsia" w:ascii="宋体" w:hAnsi="宋体" w:eastAsia="宋体" w:cs="宋体"/>
                <w:color w:val="auto"/>
                <w:sz w:val="28"/>
                <w:highlight w:val="none"/>
              </w:rPr>
            </w:pPr>
          </w:p>
        </w:tc>
        <w:tc>
          <w:tcPr>
            <w:tcW w:w="2135" w:type="dxa"/>
            <w:noWrap w:val="0"/>
            <w:vAlign w:val="center"/>
          </w:tcPr>
          <w:p w14:paraId="39C6F9AF">
            <w:pPr>
              <w:spacing w:line="360" w:lineRule="auto"/>
              <w:jc w:val="center"/>
              <w:rPr>
                <w:rFonts w:hint="eastAsia" w:ascii="宋体" w:hAnsi="宋体" w:eastAsia="宋体" w:cs="宋体"/>
                <w:color w:val="auto"/>
                <w:sz w:val="28"/>
                <w:highlight w:val="none"/>
              </w:rPr>
            </w:pPr>
          </w:p>
        </w:tc>
        <w:tc>
          <w:tcPr>
            <w:tcW w:w="1358" w:type="dxa"/>
            <w:noWrap w:val="0"/>
            <w:vAlign w:val="center"/>
          </w:tcPr>
          <w:p w14:paraId="59729A0C">
            <w:pPr>
              <w:spacing w:line="360" w:lineRule="auto"/>
              <w:jc w:val="center"/>
              <w:rPr>
                <w:rFonts w:hint="eastAsia" w:ascii="宋体" w:hAnsi="宋体" w:eastAsia="宋体" w:cs="宋体"/>
                <w:color w:val="auto"/>
                <w:sz w:val="28"/>
                <w:highlight w:val="none"/>
              </w:rPr>
            </w:pPr>
          </w:p>
        </w:tc>
        <w:tc>
          <w:tcPr>
            <w:tcW w:w="2418" w:type="dxa"/>
            <w:noWrap w:val="0"/>
            <w:vAlign w:val="center"/>
          </w:tcPr>
          <w:p w14:paraId="5B67A975">
            <w:pPr>
              <w:spacing w:line="360" w:lineRule="auto"/>
              <w:jc w:val="center"/>
              <w:rPr>
                <w:rFonts w:hint="eastAsia" w:ascii="宋体" w:hAnsi="宋体" w:eastAsia="宋体" w:cs="宋体"/>
                <w:color w:val="auto"/>
                <w:sz w:val="28"/>
                <w:highlight w:val="none"/>
              </w:rPr>
            </w:pPr>
          </w:p>
        </w:tc>
      </w:tr>
      <w:tr w14:paraId="2675A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1471258">
            <w:pPr>
              <w:spacing w:line="360" w:lineRule="auto"/>
              <w:jc w:val="center"/>
              <w:rPr>
                <w:rFonts w:hint="eastAsia" w:ascii="宋体" w:hAnsi="宋体" w:eastAsia="宋体" w:cs="宋体"/>
                <w:color w:val="auto"/>
                <w:sz w:val="28"/>
                <w:highlight w:val="none"/>
              </w:rPr>
            </w:pPr>
          </w:p>
        </w:tc>
        <w:tc>
          <w:tcPr>
            <w:tcW w:w="2439" w:type="dxa"/>
            <w:noWrap w:val="0"/>
            <w:vAlign w:val="center"/>
          </w:tcPr>
          <w:p w14:paraId="6EB67880">
            <w:pPr>
              <w:spacing w:line="360" w:lineRule="auto"/>
              <w:jc w:val="center"/>
              <w:rPr>
                <w:rFonts w:hint="eastAsia" w:ascii="宋体" w:hAnsi="宋体" w:eastAsia="宋体" w:cs="宋体"/>
                <w:color w:val="auto"/>
                <w:sz w:val="28"/>
                <w:highlight w:val="none"/>
              </w:rPr>
            </w:pPr>
          </w:p>
        </w:tc>
        <w:tc>
          <w:tcPr>
            <w:tcW w:w="2135" w:type="dxa"/>
            <w:noWrap w:val="0"/>
            <w:vAlign w:val="center"/>
          </w:tcPr>
          <w:p w14:paraId="5E8D867E">
            <w:pPr>
              <w:spacing w:line="360" w:lineRule="auto"/>
              <w:jc w:val="center"/>
              <w:rPr>
                <w:rFonts w:hint="eastAsia" w:ascii="宋体" w:hAnsi="宋体" w:eastAsia="宋体" w:cs="宋体"/>
                <w:color w:val="auto"/>
                <w:sz w:val="28"/>
                <w:highlight w:val="none"/>
              </w:rPr>
            </w:pPr>
          </w:p>
        </w:tc>
        <w:tc>
          <w:tcPr>
            <w:tcW w:w="1358" w:type="dxa"/>
            <w:noWrap w:val="0"/>
            <w:vAlign w:val="center"/>
          </w:tcPr>
          <w:p w14:paraId="5210EA2E">
            <w:pPr>
              <w:spacing w:line="360" w:lineRule="auto"/>
              <w:jc w:val="center"/>
              <w:rPr>
                <w:rFonts w:hint="eastAsia" w:ascii="宋体" w:hAnsi="宋体" w:eastAsia="宋体" w:cs="宋体"/>
                <w:color w:val="auto"/>
                <w:sz w:val="28"/>
                <w:highlight w:val="none"/>
              </w:rPr>
            </w:pPr>
          </w:p>
        </w:tc>
        <w:tc>
          <w:tcPr>
            <w:tcW w:w="2418" w:type="dxa"/>
            <w:noWrap w:val="0"/>
            <w:vAlign w:val="center"/>
          </w:tcPr>
          <w:p w14:paraId="4C163544">
            <w:pPr>
              <w:spacing w:line="360" w:lineRule="auto"/>
              <w:jc w:val="center"/>
              <w:rPr>
                <w:rFonts w:hint="eastAsia" w:ascii="宋体" w:hAnsi="宋体" w:eastAsia="宋体" w:cs="宋体"/>
                <w:color w:val="auto"/>
                <w:sz w:val="28"/>
                <w:highlight w:val="none"/>
              </w:rPr>
            </w:pPr>
          </w:p>
        </w:tc>
      </w:tr>
      <w:tr w14:paraId="4AD56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0DA02826">
            <w:pPr>
              <w:spacing w:line="360" w:lineRule="auto"/>
              <w:jc w:val="center"/>
              <w:rPr>
                <w:rFonts w:hint="eastAsia" w:ascii="宋体" w:hAnsi="宋体" w:eastAsia="宋体" w:cs="宋体"/>
                <w:color w:val="auto"/>
                <w:sz w:val="28"/>
                <w:highlight w:val="none"/>
              </w:rPr>
            </w:pPr>
          </w:p>
        </w:tc>
        <w:tc>
          <w:tcPr>
            <w:tcW w:w="2439" w:type="dxa"/>
            <w:noWrap w:val="0"/>
            <w:vAlign w:val="center"/>
          </w:tcPr>
          <w:p w14:paraId="78020CFC">
            <w:pPr>
              <w:spacing w:line="360" w:lineRule="auto"/>
              <w:jc w:val="center"/>
              <w:rPr>
                <w:rFonts w:hint="eastAsia" w:ascii="宋体" w:hAnsi="宋体" w:eastAsia="宋体" w:cs="宋体"/>
                <w:color w:val="auto"/>
                <w:sz w:val="28"/>
                <w:highlight w:val="none"/>
              </w:rPr>
            </w:pPr>
          </w:p>
        </w:tc>
        <w:tc>
          <w:tcPr>
            <w:tcW w:w="2135" w:type="dxa"/>
            <w:noWrap w:val="0"/>
            <w:vAlign w:val="center"/>
          </w:tcPr>
          <w:p w14:paraId="5F31E372">
            <w:pPr>
              <w:spacing w:line="360" w:lineRule="auto"/>
              <w:jc w:val="center"/>
              <w:rPr>
                <w:rFonts w:hint="eastAsia" w:ascii="宋体" w:hAnsi="宋体" w:eastAsia="宋体" w:cs="宋体"/>
                <w:color w:val="auto"/>
                <w:sz w:val="28"/>
                <w:highlight w:val="none"/>
              </w:rPr>
            </w:pPr>
          </w:p>
        </w:tc>
        <w:tc>
          <w:tcPr>
            <w:tcW w:w="1358" w:type="dxa"/>
            <w:noWrap w:val="0"/>
            <w:vAlign w:val="center"/>
          </w:tcPr>
          <w:p w14:paraId="528C20D7">
            <w:pPr>
              <w:spacing w:line="360" w:lineRule="auto"/>
              <w:jc w:val="center"/>
              <w:rPr>
                <w:rFonts w:hint="eastAsia" w:ascii="宋体" w:hAnsi="宋体" w:eastAsia="宋体" w:cs="宋体"/>
                <w:color w:val="auto"/>
                <w:sz w:val="28"/>
                <w:highlight w:val="none"/>
              </w:rPr>
            </w:pPr>
          </w:p>
        </w:tc>
        <w:tc>
          <w:tcPr>
            <w:tcW w:w="2418" w:type="dxa"/>
            <w:noWrap w:val="0"/>
            <w:vAlign w:val="center"/>
          </w:tcPr>
          <w:p w14:paraId="042342EF">
            <w:pPr>
              <w:spacing w:line="360" w:lineRule="auto"/>
              <w:jc w:val="center"/>
              <w:rPr>
                <w:rFonts w:hint="eastAsia" w:ascii="宋体" w:hAnsi="宋体" w:eastAsia="宋体" w:cs="宋体"/>
                <w:color w:val="auto"/>
                <w:sz w:val="28"/>
                <w:highlight w:val="none"/>
              </w:rPr>
            </w:pPr>
          </w:p>
        </w:tc>
      </w:tr>
      <w:tr w14:paraId="5B54E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noWrap w:val="0"/>
            <w:vAlign w:val="center"/>
          </w:tcPr>
          <w:p w14:paraId="7A425309">
            <w:pPr>
              <w:spacing w:line="360" w:lineRule="auto"/>
              <w:jc w:val="center"/>
              <w:rPr>
                <w:rFonts w:hint="eastAsia" w:ascii="宋体" w:hAnsi="宋体" w:eastAsia="宋体" w:cs="宋体"/>
                <w:color w:val="auto"/>
                <w:sz w:val="28"/>
                <w:highlight w:val="none"/>
              </w:rPr>
            </w:pPr>
          </w:p>
        </w:tc>
        <w:tc>
          <w:tcPr>
            <w:tcW w:w="2439" w:type="dxa"/>
            <w:noWrap w:val="0"/>
            <w:vAlign w:val="center"/>
          </w:tcPr>
          <w:p w14:paraId="2AA099C0">
            <w:pPr>
              <w:spacing w:line="360" w:lineRule="auto"/>
              <w:jc w:val="center"/>
              <w:rPr>
                <w:rFonts w:hint="eastAsia" w:ascii="宋体" w:hAnsi="宋体" w:eastAsia="宋体" w:cs="宋体"/>
                <w:color w:val="auto"/>
                <w:sz w:val="28"/>
                <w:highlight w:val="none"/>
              </w:rPr>
            </w:pPr>
          </w:p>
        </w:tc>
        <w:tc>
          <w:tcPr>
            <w:tcW w:w="2135" w:type="dxa"/>
            <w:noWrap w:val="0"/>
            <w:vAlign w:val="center"/>
          </w:tcPr>
          <w:p w14:paraId="24D25E8C">
            <w:pPr>
              <w:spacing w:line="360" w:lineRule="auto"/>
              <w:jc w:val="center"/>
              <w:rPr>
                <w:rFonts w:hint="eastAsia" w:ascii="宋体" w:hAnsi="宋体" w:eastAsia="宋体" w:cs="宋体"/>
                <w:color w:val="auto"/>
                <w:sz w:val="28"/>
                <w:highlight w:val="none"/>
              </w:rPr>
            </w:pPr>
          </w:p>
        </w:tc>
        <w:tc>
          <w:tcPr>
            <w:tcW w:w="1358" w:type="dxa"/>
            <w:noWrap w:val="0"/>
            <w:vAlign w:val="center"/>
          </w:tcPr>
          <w:p w14:paraId="4A2FFC7D">
            <w:pPr>
              <w:spacing w:line="360" w:lineRule="auto"/>
              <w:jc w:val="center"/>
              <w:rPr>
                <w:rFonts w:hint="eastAsia" w:ascii="宋体" w:hAnsi="宋体" w:eastAsia="宋体" w:cs="宋体"/>
                <w:color w:val="auto"/>
                <w:sz w:val="28"/>
                <w:highlight w:val="none"/>
              </w:rPr>
            </w:pPr>
          </w:p>
        </w:tc>
        <w:tc>
          <w:tcPr>
            <w:tcW w:w="2418" w:type="dxa"/>
            <w:noWrap w:val="0"/>
            <w:vAlign w:val="center"/>
          </w:tcPr>
          <w:p w14:paraId="671EF790">
            <w:pPr>
              <w:spacing w:line="360" w:lineRule="auto"/>
              <w:jc w:val="center"/>
              <w:rPr>
                <w:rFonts w:hint="eastAsia" w:ascii="宋体" w:hAnsi="宋体" w:eastAsia="宋体" w:cs="宋体"/>
                <w:color w:val="auto"/>
                <w:sz w:val="28"/>
                <w:highlight w:val="none"/>
              </w:rPr>
            </w:pPr>
          </w:p>
        </w:tc>
      </w:tr>
    </w:tbl>
    <w:p w14:paraId="3D0D66D2">
      <w:pPr>
        <w:spacing w:line="360" w:lineRule="auto"/>
        <w:jc w:val="center"/>
        <w:rPr>
          <w:rFonts w:hint="eastAsia" w:ascii="宋体" w:hAnsi="宋体" w:eastAsia="宋体" w:cs="宋体"/>
          <w:b/>
          <w:color w:val="auto"/>
          <w:sz w:val="28"/>
          <w:szCs w:val="30"/>
          <w:highlight w:val="none"/>
        </w:rPr>
      </w:pPr>
    </w:p>
    <w:p w14:paraId="1AE45C68">
      <w:pPr>
        <w:spacing w:line="48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4EB2F64B">
      <w:pPr>
        <w:spacing w:line="48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57AAC595">
      <w:pPr>
        <w:spacing w:line="48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38A0B07D">
      <w:pPr>
        <w:pStyle w:val="21"/>
        <w:spacing w:line="360" w:lineRule="auto"/>
        <w:ind w:firstLine="480"/>
        <w:rPr>
          <w:rFonts w:hint="eastAsia" w:ascii="宋体" w:hAnsi="宋体" w:eastAsia="宋体" w:cs="宋体"/>
          <w:color w:val="auto"/>
          <w:sz w:val="24"/>
          <w:szCs w:val="24"/>
          <w:highlight w:val="none"/>
        </w:rPr>
      </w:pPr>
    </w:p>
    <w:p w14:paraId="00277C9F">
      <w:pPr>
        <w:pStyle w:val="4"/>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p>
    <w:p w14:paraId="352866BB">
      <w:pPr>
        <w:rPr>
          <w:rFonts w:hint="eastAsia" w:ascii="宋体" w:hAnsi="宋体" w:eastAsia="宋体" w:cs="宋体"/>
          <w:color w:val="auto"/>
          <w:highlight w:val="none"/>
        </w:rPr>
      </w:pPr>
    </w:p>
    <w:p w14:paraId="29BA5E92">
      <w:pPr>
        <w:rPr>
          <w:rFonts w:hint="eastAsia" w:ascii="宋体" w:hAnsi="宋体" w:eastAsia="宋体" w:cs="宋体"/>
          <w:color w:val="auto"/>
          <w:highlight w:val="none"/>
        </w:rPr>
      </w:pPr>
    </w:p>
    <w:p w14:paraId="759F29AB">
      <w:pPr>
        <w:widowControl/>
        <w:spacing w:line="360" w:lineRule="auto"/>
        <w:ind w:firstLine="1201"/>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十、其他竞争性磋商文件要求与评标有关的所有资料</w:t>
      </w:r>
    </w:p>
    <w:p w14:paraId="7EA26058">
      <w:pPr>
        <w:pStyle w:val="60"/>
        <w:ind w:firstLine="480"/>
        <w:rPr>
          <w:rFonts w:hint="eastAsia" w:ascii="宋体" w:hAnsi="宋体" w:eastAsia="宋体" w:cs="宋体"/>
          <w:color w:val="auto"/>
          <w:szCs w:val="24"/>
          <w:highlight w:val="none"/>
          <w:lang w:bidi="ar"/>
        </w:rPr>
      </w:pPr>
    </w:p>
    <w:p w14:paraId="51E32E9C">
      <w:pPr>
        <w:jc w:val="center"/>
        <w:rPr>
          <w:rFonts w:hint="eastAsia" w:ascii="宋体" w:hAnsi="宋体" w:eastAsia="宋体" w:cs="宋体"/>
          <w:color w:val="auto"/>
          <w:sz w:val="24"/>
          <w:highlight w:val="none"/>
          <w:lang w:bidi="ar"/>
        </w:rPr>
      </w:pPr>
    </w:p>
    <w:p w14:paraId="13A801C5">
      <w:pPr>
        <w:pStyle w:val="60"/>
        <w:ind w:firstLine="0"/>
        <w:jc w:val="cente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（供应商根据实际情况编制）</w:t>
      </w:r>
    </w:p>
    <w:p w14:paraId="421119D0">
      <w:pPr>
        <w:rPr>
          <w:rFonts w:hint="eastAsia" w:ascii="宋体" w:hAnsi="宋体" w:eastAsia="宋体" w:cs="宋体"/>
          <w:color w:val="auto"/>
          <w:sz w:val="24"/>
          <w:highlight w:val="none"/>
          <w:lang w:bidi="ar"/>
        </w:rPr>
      </w:pPr>
    </w:p>
    <w:p w14:paraId="2DC78F7A">
      <w:pPr>
        <w:pStyle w:val="60"/>
        <w:ind w:firstLine="480"/>
        <w:rPr>
          <w:rFonts w:hint="eastAsia" w:ascii="宋体" w:hAnsi="宋体" w:eastAsia="宋体" w:cs="宋体"/>
          <w:color w:val="auto"/>
          <w:szCs w:val="24"/>
          <w:highlight w:val="none"/>
          <w:lang w:bidi="ar"/>
        </w:rPr>
      </w:pPr>
    </w:p>
    <w:p w14:paraId="214F786F">
      <w:pPr>
        <w:rPr>
          <w:rFonts w:hint="eastAsia" w:ascii="宋体" w:hAnsi="宋体" w:eastAsia="宋体" w:cs="宋体"/>
          <w:color w:val="auto"/>
          <w:sz w:val="24"/>
          <w:highlight w:val="none"/>
          <w:lang w:bidi="ar"/>
        </w:rPr>
      </w:pPr>
    </w:p>
    <w:p w14:paraId="0D1F263F">
      <w:pPr>
        <w:pStyle w:val="60"/>
        <w:ind w:firstLine="480"/>
        <w:rPr>
          <w:rFonts w:hint="eastAsia" w:ascii="宋体" w:hAnsi="宋体" w:eastAsia="宋体" w:cs="宋体"/>
          <w:color w:val="auto"/>
          <w:szCs w:val="24"/>
          <w:highlight w:val="none"/>
          <w:lang w:bidi="ar"/>
        </w:rPr>
      </w:pPr>
    </w:p>
    <w:p w14:paraId="34C62AB9">
      <w:pPr>
        <w:rPr>
          <w:rFonts w:hint="eastAsia" w:ascii="宋体" w:hAnsi="宋体" w:eastAsia="宋体" w:cs="宋体"/>
          <w:color w:val="auto"/>
          <w:sz w:val="24"/>
          <w:highlight w:val="none"/>
          <w:lang w:bidi="ar"/>
        </w:rPr>
      </w:pPr>
    </w:p>
    <w:p w14:paraId="774FC5F7">
      <w:pPr>
        <w:pStyle w:val="60"/>
        <w:ind w:firstLine="480"/>
        <w:rPr>
          <w:rFonts w:hint="eastAsia" w:ascii="宋体" w:hAnsi="宋体" w:eastAsia="宋体" w:cs="宋体"/>
          <w:color w:val="auto"/>
          <w:szCs w:val="24"/>
          <w:highlight w:val="none"/>
          <w:lang w:bidi="ar"/>
        </w:rPr>
      </w:pPr>
    </w:p>
    <w:p w14:paraId="70E05438">
      <w:pPr>
        <w:rPr>
          <w:rFonts w:hint="eastAsia" w:ascii="宋体" w:hAnsi="宋体" w:eastAsia="宋体" w:cs="宋体"/>
          <w:color w:val="auto"/>
          <w:sz w:val="24"/>
          <w:highlight w:val="none"/>
          <w:lang w:bidi="ar"/>
        </w:rPr>
      </w:pPr>
    </w:p>
    <w:p w14:paraId="33E80A51">
      <w:pPr>
        <w:pStyle w:val="60"/>
        <w:ind w:firstLine="480"/>
        <w:rPr>
          <w:rFonts w:hint="eastAsia" w:ascii="宋体" w:hAnsi="宋体" w:eastAsia="宋体" w:cs="宋体"/>
          <w:color w:val="auto"/>
          <w:szCs w:val="24"/>
          <w:highlight w:val="none"/>
          <w:lang w:bidi="ar"/>
        </w:rPr>
      </w:pPr>
    </w:p>
    <w:p w14:paraId="4C2F8723">
      <w:pPr>
        <w:rPr>
          <w:rFonts w:hint="eastAsia" w:ascii="宋体" w:hAnsi="宋体" w:eastAsia="宋体" w:cs="宋体"/>
          <w:color w:val="auto"/>
          <w:sz w:val="24"/>
          <w:highlight w:val="none"/>
          <w:lang w:bidi="ar"/>
        </w:rPr>
      </w:pPr>
    </w:p>
    <w:p w14:paraId="10142599">
      <w:pPr>
        <w:pStyle w:val="60"/>
        <w:ind w:firstLine="480"/>
        <w:rPr>
          <w:rFonts w:hint="eastAsia" w:ascii="宋体" w:hAnsi="宋体" w:eastAsia="宋体" w:cs="宋体"/>
          <w:color w:val="auto"/>
          <w:szCs w:val="24"/>
          <w:highlight w:val="none"/>
          <w:lang w:bidi="ar"/>
        </w:rPr>
      </w:pPr>
    </w:p>
    <w:p w14:paraId="134D8644">
      <w:pPr>
        <w:rPr>
          <w:rFonts w:hint="eastAsia" w:ascii="宋体" w:hAnsi="宋体" w:eastAsia="宋体" w:cs="宋体"/>
          <w:color w:val="auto"/>
          <w:highlight w:val="none"/>
        </w:rPr>
      </w:pPr>
    </w:p>
    <w:p w14:paraId="5F907347">
      <w:pPr>
        <w:rPr>
          <w:rFonts w:hint="eastAsia" w:ascii="宋体" w:hAnsi="宋体" w:eastAsia="宋体" w:cs="宋体"/>
          <w:color w:val="auto"/>
          <w:sz w:val="24"/>
          <w:highlight w:val="none"/>
          <w:lang w:bidi="ar"/>
        </w:rPr>
      </w:pPr>
    </w:p>
    <w:p w14:paraId="24B291B4">
      <w:pPr>
        <w:pStyle w:val="60"/>
        <w:ind w:firstLine="480"/>
        <w:rPr>
          <w:rFonts w:hint="eastAsia" w:ascii="宋体" w:hAnsi="宋体" w:eastAsia="宋体" w:cs="宋体"/>
          <w:color w:val="auto"/>
          <w:szCs w:val="24"/>
          <w:highlight w:val="none"/>
          <w:lang w:bidi="ar"/>
        </w:rPr>
      </w:pPr>
    </w:p>
    <w:p w14:paraId="056FCAF5">
      <w:pPr>
        <w:rPr>
          <w:rFonts w:hint="eastAsia" w:ascii="宋体" w:hAnsi="宋体" w:eastAsia="宋体" w:cs="宋体"/>
          <w:color w:val="auto"/>
          <w:sz w:val="24"/>
          <w:highlight w:val="none"/>
          <w:lang w:bidi="ar"/>
        </w:rPr>
      </w:pPr>
    </w:p>
    <w:p w14:paraId="44468ECD">
      <w:pPr>
        <w:pStyle w:val="60"/>
        <w:ind w:firstLine="480"/>
        <w:rPr>
          <w:rFonts w:hint="eastAsia" w:ascii="宋体" w:hAnsi="宋体" w:eastAsia="宋体" w:cs="宋体"/>
          <w:color w:val="auto"/>
          <w:szCs w:val="24"/>
          <w:highlight w:val="none"/>
          <w:lang w:bidi="ar"/>
        </w:rPr>
      </w:pPr>
    </w:p>
    <w:p w14:paraId="656189D0">
      <w:pPr>
        <w:rPr>
          <w:rFonts w:hint="eastAsia" w:ascii="宋体" w:hAnsi="宋体" w:eastAsia="宋体" w:cs="宋体"/>
          <w:color w:val="auto"/>
          <w:sz w:val="24"/>
          <w:highlight w:val="none"/>
          <w:lang w:bidi="ar"/>
        </w:rPr>
      </w:pPr>
    </w:p>
    <w:p w14:paraId="4D5DCF85">
      <w:pPr>
        <w:pStyle w:val="60"/>
        <w:ind w:firstLine="480"/>
        <w:rPr>
          <w:rFonts w:hint="eastAsia" w:ascii="宋体" w:hAnsi="宋体" w:eastAsia="宋体" w:cs="宋体"/>
          <w:color w:val="auto"/>
          <w:szCs w:val="24"/>
          <w:highlight w:val="none"/>
          <w:lang w:bidi="ar"/>
        </w:rPr>
      </w:pPr>
    </w:p>
    <w:p w14:paraId="79BE2DA3">
      <w:pPr>
        <w:rPr>
          <w:rFonts w:hint="eastAsia" w:ascii="宋体" w:hAnsi="宋体" w:eastAsia="宋体" w:cs="宋体"/>
          <w:color w:val="auto"/>
          <w:sz w:val="24"/>
          <w:highlight w:val="none"/>
          <w:lang w:bidi="ar"/>
        </w:rPr>
      </w:pPr>
    </w:p>
    <w:p w14:paraId="5C91AD31">
      <w:pPr>
        <w:pStyle w:val="16"/>
        <w:rPr>
          <w:rFonts w:hint="eastAsia" w:ascii="宋体" w:hAnsi="宋体" w:eastAsia="宋体" w:cs="宋体"/>
          <w:color w:val="auto"/>
          <w:sz w:val="24"/>
          <w:highlight w:val="none"/>
          <w:lang w:bidi="ar"/>
        </w:rPr>
      </w:pPr>
    </w:p>
    <w:p w14:paraId="5C81DACC">
      <w:pPr>
        <w:rPr>
          <w:rFonts w:hint="eastAsia" w:ascii="宋体" w:hAnsi="宋体" w:eastAsia="宋体" w:cs="宋体"/>
          <w:color w:val="auto"/>
          <w:sz w:val="24"/>
          <w:highlight w:val="none"/>
          <w:lang w:bidi="ar"/>
        </w:rPr>
      </w:pPr>
    </w:p>
    <w:p w14:paraId="18F9300B">
      <w:pPr>
        <w:pStyle w:val="16"/>
        <w:rPr>
          <w:rFonts w:hint="eastAsia" w:ascii="宋体" w:hAnsi="宋体" w:eastAsia="宋体" w:cs="宋体"/>
          <w:color w:val="auto"/>
          <w:sz w:val="24"/>
          <w:highlight w:val="none"/>
          <w:lang w:bidi="ar"/>
        </w:rPr>
      </w:pPr>
    </w:p>
    <w:p w14:paraId="2713956B">
      <w:pPr>
        <w:rPr>
          <w:rFonts w:hint="eastAsia" w:ascii="宋体" w:hAnsi="宋体" w:eastAsia="宋体" w:cs="宋体"/>
          <w:color w:val="auto"/>
          <w:sz w:val="24"/>
          <w:highlight w:val="none"/>
          <w:lang w:bidi="ar"/>
        </w:rPr>
      </w:pPr>
    </w:p>
    <w:p w14:paraId="28C4E518">
      <w:pPr>
        <w:pStyle w:val="16"/>
        <w:rPr>
          <w:rFonts w:hint="eastAsia" w:ascii="宋体" w:hAnsi="宋体" w:eastAsia="宋体" w:cs="宋体"/>
          <w:color w:val="auto"/>
          <w:sz w:val="24"/>
          <w:highlight w:val="none"/>
          <w:lang w:bidi="ar"/>
        </w:rPr>
      </w:pPr>
    </w:p>
    <w:p w14:paraId="3D395F4A">
      <w:pPr>
        <w:rPr>
          <w:rFonts w:hint="eastAsia" w:ascii="宋体" w:hAnsi="宋体" w:eastAsia="宋体" w:cs="宋体"/>
          <w:color w:val="auto"/>
          <w:sz w:val="24"/>
          <w:highlight w:val="none"/>
          <w:lang w:bidi="ar"/>
        </w:rPr>
      </w:pPr>
    </w:p>
    <w:p w14:paraId="605DB296">
      <w:pPr>
        <w:pStyle w:val="16"/>
        <w:rPr>
          <w:rFonts w:hint="eastAsia" w:ascii="宋体" w:hAnsi="宋体" w:eastAsia="宋体" w:cs="宋体"/>
          <w:color w:val="auto"/>
          <w:sz w:val="24"/>
          <w:highlight w:val="none"/>
          <w:lang w:bidi="ar"/>
        </w:rPr>
      </w:pPr>
    </w:p>
    <w:p w14:paraId="55E875AB">
      <w:pPr>
        <w:rPr>
          <w:rFonts w:hint="eastAsia" w:ascii="宋体" w:hAnsi="宋体" w:eastAsia="宋体" w:cs="宋体"/>
          <w:color w:val="auto"/>
          <w:sz w:val="24"/>
          <w:highlight w:val="none"/>
          <w:lang w:bidi="ar"/>
        </w:rPr>
      </w:pPr>
    </w:p>
    <w:p w14:paraId="0DE27EE1">
      <w:pPr>
        <w:pStyle w:val="16"/>
        <w:rPr>
          <w:rFonts w:hint="eastAsia" w:ascii="宋体" w:hAnsi="宋体" w:eastAsia="宋体" w:cs="宋体"/>
          <w:color w:val="auto"/>
          <w:sz w:val="24"/>
          <w:highlight w:val="none"/>
          <w:lang w:bidi="ar"/>
        </w:rPr>
      </w:pPr>
    </w:p>
    <w:p w14:paraId="64D901F6">
      <w:pPr>
        <w:rPr>
          <w:rFonts w:hint="eastAsia" w:ascii="宋体" w:hAnsi="宋体" w:eastAsia="宋体" w:cs="宋体"/>
          <w:color w:val="auto"/>
          <w:sz w:val="24"/>
          <w:highlight w:val="none"/>
          <w:lang w:bidi="ar"/>
        </w:rPr>
      </w:pPr>
    </w:p>
    <w:p w14:paraId="0503EB6E">
      <w:pPr>
        <w:pStyle w:val="16"/>
        <w:rPr>
          <w:rFonts w:hint="eastAsia" w:ascii="宋体" w:hAnsi="宋体" w:eastAsia="宋体" w:cs="宋体"/>
          <w:color w:val="auto"/>
          <w:sz w:val="24"/>
          <w:highlight w:val="none"/>
          <w:lang w:bidi="ar"/>
        </w:rPr>
      </w:pPr>
    </w:p>
    <w:p w14:paraId="526C99D4">
      <w:pPr>
        <w:rPr>
          <w:rFonts w:hint="eastAsia" w:ascii="宋体" w:hAnsi="宋体" w:eastAsia="宋体" w:cs="宋体"/>
          <w:color w:val="auto"/>
          <w:sz w:val="24"/>
          <w:highlight w:val="none"/>
          <w:lang w:bidi="ar"/>
        </w:rPr>
      </w:pPr>
    </w:p>
    <w:p w14:paraId="59D5AD95">
      <w:pPr>
        <w:pStyle w:val="16"/>
        <w:rPr>
          <w:rFonts w:hint="eastAsia" w:ascii="宋体" w:hAnsi="宋体" w:eastAsia="宋体" w:cs="宋体"/>
          <w:color w:val="auto"/>
          <w:sz w:val="24"/>
          <w:highlight w:val="none"/>
          <w:lang w:bidi="ar"/>
        </w:rPr>
      </w:pPr>
    </w:p>
    <w:p w14:paraId="2DF47CB4">
      <w:pPr>
        <w:rPr>
          <w:rFonts w:hint="eastAsia" w:ascii="宋体" w:hAnsi="宋体" w:eastAsia="宋体" w:cs="宋体"/>
          <w:color w:val="auto"/>
          <w:sz w:val="24"/>
          <w:highlight w:val="none"/>
          <w:lang w:bidi="ar"/>
        </w:rPr>
      </w:pPr>
    </w:p>
    <w:p w14:paraId="19145AF2">
      <w:pPr>
        <w:pStyle w:val="16"/>
        <w:rPr>
          <w:rFonts w:hint="eastAsia" w:ascii="宋体" w:hAnsi="宋体" w:eastAsia="宋体" w:cs="宋体"/>
          <w:color w:val="auto"/>
          <w:sz w:val="24"/>
          <w:highlight w:val="none"/>
          <w:lang w:bidi="ar"/>
        </w:rPr>
      </w:pPr>
    </w:p>
    <w:p w14:paraId="3923D913">
      <w:pPr>
        <w:rPr>
          <w:rFonts w:hint="eastAsia" w:ascii="宋体" w:hAnsi="宋体" w:eastAsia="宋体" w:cs="宋体"/>
          <w:color w:val="auto"/>
          <w:sz w:val="24"/>
          <w:highlight w:val="none"/>
          <w:lang w:bidi="ar"/>
        </w:rPr>
      </w:pPr>
    </w:p>
    <w:p w14:paraId="0B57DEC0">
      <w:pPr>
        <w:pStyle w:val="16"/>
        <w:rPr>
          <w:rFonts w:hint="eastAsia" w:ascii="宋体" w:hAnsi="宋体" w:eastAsia="宋体" w:cs="宋体"/>
          <w:color w:val="auto"/>
          <w:sz w:val="24"/>
          <w:highlight w:val="none"/>
          <w:lang w:bidi="ar"/>
        </w:rPr>
      </w:pPr>
    </w:p>
    <w:p w14:paraId="179C7EC6">
      <w:pPr>
        <w:rPr>
          <w:rFonts w:hint="eastAsia" w:ascii="宋体" w:hAnsi="宋体" w:eastAsia="宋体" w:cs="宋体"/>
          <w:color w:val="auto"/>
          <w:sz w:val="24"/>
          <w:highlight w:val="none"/>
          <w:lang w:bidi="ar"/>
        </w:rPr>
      </w:pPr>
    </w:p>
    <w:p w14:paraId="2553E3BE">
      <w:pPr>
        <w:pStyle w:val="16"/>
        <w:rPr>
          <w:rFonts w:hint="eastAsia" w:ascii="宋体" w:hAnsi="宋体" w:eastAsia="宋体" w:cs="宋体"/>
          <w:color w:val="auto"/>
          <w:sz w:val="24"/>
          <w:highlight w:val="none"/>
          <w:lang w:bidi="ar"/>
        </w:rPr>
      </w:pPr>
    </w:p>
    <w:p w14:paraId="6A4EF71D">
      <w:pPr>
        <w:rPr>
          <w:rFonts w:hint="eastAsia" w:ascii="宋体" w:hAnsi="宋体" w:eastAsia="宋体" w:cs="宋体"/>
          <w:color w:val="auto"/>
          <w:sz w:val="24"/>
          <w:highlight w:val="none"/>
          <w:lang w:bidi="ar"/>
        </w:rPr>
      </w:pPr>
    </w:p>
    <w:p w14:paraId="5A2A2BF1">
      <w:pPr>
        <w:pStyle w:val="16"/>
        <w:rPr>
          <w:rFonts w:hint="eastAsia" w:ascii="宋体" w:hAnsi="宋体" w:eastAsia="宋体" w:cs="宋体"/>
          <w:color w:val="auto"/>
          <w:highlight w:val="none"/>
        </w:rPr>
      </w:pPr>
    </w:p>
    <w:p w14:paraId="3347657E">
      <w:pPr>
        <w:pStyle w:val="5"/>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评审方法和评审标准</w:t>
      </w:r>
    </w:p>
    <w:p w14:paraId="32F54DAB">
      <w:pPr>
        <w:pStyle w:val="4"/>
        <w:spacing w:before="0" w:line="288" w:lineRule="auto"/>
        <w:jc w:val="both"/>
        <w:rPr>
          <w:rFonts w:hint="eastAsia" w:ascii="宋体" w:hAnsi="宋体" w:eastAsia="宋体" w:cs="宋体"/>
          <w:color w:val="auto"/>
          <w:highlight w:val="none"/>
        </w:rPr>
      </w:pPr>
      <w:bookmarkStart w:id="22" w:name="_Toc11060"/>
      <w:bookmarkStart w:id="23" w:name="_Toc7552"/>
      <w:r>
        <w:rPr>
          <w:rFonts w:hint="eastAsia" w:ascii="宋体" w:hAnsi="宋体" w:eastAsia="宋体" w:cs="宋体"/>
          <w:color w:val="auto"/>
          <w:highlight w:val="none"/>
        </w:rPr>
        <w:t>评标办法前附表</w:t>
      </w:r>
      <w:bookmarkEnd w:id="22"/>
      <w:bookmarkEnd w:id="23"/>
    </w:p>
    <w:tbl>
      <w:tblPr>
        <w:tblStyle w:val="4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907"/>
        <w:gridCol w:w="1602"/>
        <w:gridCol w:w="7250"/>
      </w:tblGrid>
      <w:tr w14:paraId="24DFE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48295E71">
            <w:pPr>
              <w:rPr>
                <w:rFonts w:hint="eastAsia" w:ascii="宋体" w:hAnsi="宋体" w:eastAsia="宋体" w:cs="宋体"/>
                <w:b/>
                <w:color w:val="000000" w:themeColor="text1"/>
                <w:highlight w:val="none"/>
                <w14:textFill>
                  <w14:solidFill>
                    <w14:schemeClr w14:val="tx1"/>
                  </w14:solidFill>
                </w14:textFill>
              </w:rPr>
            </w:pPr>
            <w:bookmarkStart w:id="24" w:name="_Toc24022"/>
            <w:bookmarkStart w:id="25" w:name="_Toc184635093"/>
            <w:bookmarkStart w:id="26" w:name="_Toc12629"/>
            <w:r>
              <w:rPr>
                <w:rFonts w:hint="eastAsia" w:ascii="宋体" w:hAnsi="宋体" w:eastAsia="宋体" w:cs="宋体"/>
                <w:color w:val="000000" w:themeColor="text1"/>
                <w:szCs w:val="21"/>
                <w:highlight w:val="none"/>
                <w14:textFill>
                  <w14:solidFill>
                    <w14:schemeClr w14:val="tx1"/>
                  </w14:solidFill>
                </w14:textFill>
              </w:rPr>
              <w:t>序号</w:t>
            </w:r>
          </w:p>
        </w:tc>
        <w:tc>
          <w:tcPr>
            <w:tcW w:w="907" w:type="dxa"/>
            <w:tcBorders>
              <w:top w:val="single" w:color="auto" w:sz="4" w:space="0"/>
              <w:left w:val="single" w:color="auto" w:sz="4" w:space="0"/>
              <w:bottom w:val="single" w:color="auto" w:sz="4" w:space="0"/>
              <w:right w:val="single" w:color="auto" w:sz="4" w:space="0"/>
            </w:tcBorders>
            <w:noWrap w:val="0"/>
            <w:vAlign w:val="center"/>
          </w:tcPr>
          <w:p w14:paraId="6081B258">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内容</w:t>
            </w:r>
          </w:p>
        </w:tc>
        <w:tc>
          <w:tcPr>
            <w:tcW w:w="1602" w:type="dxa"/>
            <w:tcBorders>
              <w:top w:val="single" w:color="auto" w:sz="4" w:space="0"/>
              <w:left w:val="single" w:color="auto" w:sz="4" w:space="0"/>
              <w:bottom w:val="single" w:color="auto" w:sz="4" w:space="0"/>
              <w:right w:val="single" w:color="auto" w:sz="4" w:space="0"/>
            </w:tcBorders>
            <w:noWrap w:val="0"/>
            <w:vAlign w:val="center"/>
          </w:tcPr>
          <w:p w14:paraId="6FE01C83">
            <w:pPr>
              <w:spacing w:line="276" w:lineRule="auto"/>
              <w:jc w:val="cente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评审因素</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241B1301">
            <w:pPr>
              <w:spacing w:line="276" w:lineRule="auto"/>
              <w:jc w:val="cente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评审标准</w:t>
            </w:r>
          </w:p>
        </w:tc>
      </w:tr>
      <w:tr w14:paraId="3BAD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1212997A">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907" w:type="dxa"/>
            <w:vMerge w:val="restart"/>
            <w:tcBorders>
              <w:top w:val="single" w:color="auto" w:sz="4" w:space="0"/>
              <w:left w:val="single" w:color="auto" w:sz="4" w:space="0"/>
              <w:right w:val="single" w:color="auto" w:sz="4" w:space="0"/>
            </w:tcBorders>
            <w:noWrap w:val="0"/>
            <w:vAlign w:val="center"/>
          </w:tcPr>
          <w:p w14:paraId="719AA3E1">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形式评审标准</w:t>
            </w:r>
          </w:p>
        </w:tc>
        <w:tc>
          <w:tcPr>
            <w:tcW w:w="1602" w:type="dxa"/>
            <w:tcBorders>
              <w:top w:val="single" w:color="auto" w:sz="4" w:space="0"/>
              <w:left w:val="single" w:color="auto" w:sz="4" w:space="0"/>
              <w:bottom w:val="single" w:color="auto" w:sz="4" w:space="0"/>
              <w:right w:val="single" w:color="auto" w:sz="4" w:space="0"/>
            </w:tcBorders>
            <w:noWrap w:val="0"/>
            <w:vAlign w:val="center"/>
          </w:tcPr>
          <w:p w14:paraId="585CFD1E">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投标人名称</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23E84416">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投标人名称与营业执照、资质证书一致；不一致的，有有效证明材料</w:t>
            </w:r>
          </w:p>
        </w:tc>
      </w:tr>
      <w:tr w14:paraId="7327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119E70C">
            <w:pPr>
              <w:spacing w:line="276" w:lineRule="auto"/>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left w:val="single" w:color="auto" w:sz="4" w:space="0"/>
              <w:right w:val="single" w:color="auto" w:sz="4" w:space="0"/>
            </w:tcBorders>
            <w:noWrap w:val="0"/>
          </w:tcPr>
          <w:p w14:paraId="581D07DB">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0E7D9074">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投标文件签字盖章</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17FDDE75">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加盖投标人公章和企业法定代表人（或企业法定代表人委托代理人）印章（或签字）。如投标函加盖企业法定代表人委托代理人印章（或签字）的，委托代理人有合法、有效的委托书（原件）</w:t>
            </w:r>
          </w:p>
        </w:tc>
      </w:tr>
      <w:tr w14:paraId="5CF5B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1A26E13">
            <w:pPr>
              <w:spacing w:line="276" w:lineRule="auto"/>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left w:val="single" w:color="auto" w:sz="4" w:space="0"/>
              <w:right w:val="single" w:color="auto" w:sz="4" w:space="0"/>
            </w:tcBorders>
            <w:noWrap w:val="0"/>
          </w:tcPr>
          <w:p w14:paraId="023A147F">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56C1EEA6">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投标文件的组成</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2E4A9B0E">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符合规定竞争性磋商文件规定</w:t>
            </w:r>
          </w:p>
        </w:tc>
      </w:tr>
      <w:tr w14:paraId="3840D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1A64DA30">
            <w:pPr>
              <w:spacing w:line="276" w:lineRule="auto"/>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left w:val="single" w:color="auto" w:sz="4" w:space="0"/>
              <w:right w:val="single" w:color="auto" w:sz="4" w:space="0"/>
            </w:tcBorders>
            <w:noWrap w:val="0"/>
          </w:tcPr>
          <w:p w14:paraId="0B4E235D">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32F3C851">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投标文件及报价唯一</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14047D98">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只能有一个投标文件及有效报价（招标文件要求提交备选投标的除外）</w:t>
            </w:r>
          </w:p>
        </w:tc>
      </w:tr>
      <w:tr w14:paraId="6F93B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3158FC99">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907" w:type="dxa"/>
            <w:vMerge w:val="restart"/>
            <w:tcBorders>
              <w:top w:val="single" w:color="auto" w:sz="4" w:space="0"/>
              <w:left w:val="single" w:color="auto" w:sz="4" w:space="0"/>
              <w:bottom w:val="single" w:color="auto" w:sz="4" w:space="0"/>
              <w:right w:val="single" w:color="auto" w:sz="4" w:space="0"/>
            </w:tcBorders>
            <w:noWrap w:val="0"/>
            <w:vAlign w:val="center"/>
          </w:tcPr>
          <w:p w14:paraId="637A59B8">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资格评审标准</w:t>
            </w:r>
          </w:p>
          <w:p w14:paraId="1A8DF186">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4A2C4AD5">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营业执照</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28213A0E">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具备有效的营业执照。</w:t>
            </w:r>
          </w:p>
        </w:tc>
      </w:tr>
      <w:tr w14:paraId="62BCF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262A2738">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top w:val="single" w:color="auto" w:sz="4" w:space="0"/>
              <w:left w:val="single" w:color="auto" w:sz="4" w:space="0"/>
              <w:bottom w:val="single" w:color="auto" w:sz="4" w:space="0"/>
              <w:right w:val="single" w:color="auto" w:sz="4" w:space="0"/>
            </w:tcBorders>
            <w:noWrap w:val="0"/>
            <w:vAlign w:val="center"/>
          </w:tcPr>
          <w:p w14:paraId="4162CC78">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088ECC37">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联合体投标人</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2755937A">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本项目不接受联合体投标。</w:t>
            </w:r>
          </w:p>
        </w:tc>
      </w:tr>
      <w:tr w14:paraId="0948A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4E38580E">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top w:val="single" w:color="auto" w:sz="4" w:space="0"/>
              <w:left w:val="single" w:color="auto" w:sz="4" w:space="0"/>
              <w:bottom w:val="single" w:color="auto" w:sz="4" w:space="0"/>
              <w:right w:val="single" w:color="auto" w:sz="4" w:space="0"/>
            </w:tcBorders>
            <w:noWrap w:val="0"/>
            <w:vAlign w:val="center"/>
          </w:tcPr>
          <w:p w14:paraId="12636000">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0A73EEDC">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资格要求</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1DA55BCF">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见磋商文件第一章“竞争性磋商采购公告”申请人的资格要求</w:t>
            </w:r>
          </w:p>
        </w:tc>
      </w:tr>
      <w:tr w14:paraId="4D0F4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66721296">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top w:val="single" w:color="auto" w:sz="4" w:space="0"/>
              <w:left w:val="single" w:color="auto" w:sz="4" w:space="0"/>
              <w:bottom w:val="single" w:color="auto" w:sz="4" w:space="0"/>
              <w:right w:val="single" w:color="auto" w:sz="4" w:space="0"/>
            </w:tcBorders>
            <w:noWrap w:val="0"/>
            <w:vAlign w:val="center"/>
          </w:tcPr>
          <w:p w14:paraId="4AC97FED">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571BA2E7">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2FF96584">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p>
        </w:tc>
      </w:tr>
      <w:tr w14:paraId="47666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086F4754">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c>
          <w:tcPr>
            <w:tcW w:w="907" w:type="dxa"/>
            <w:vMerge w:val="restart"/>
            <w:tcBorders>
              <w:top w:val="single" w:color="auto" w:sz="4" w:space="0"/>
              <w:left w:val="single" w:color="auto" w:sz="4" w:space="0"/>
              <w:bottom w:val="single" w:color="auto" w:sz="4" w:space="0"/>
              <w:right w:val="single" w:color="auto" w:sz="4" w:space="0"/>
            </w:tcBorders>
            <w:noWrap w:val="0"/>
            <w:vAlign w:val="center"/>
          </w:tcPr>
          <w:p w14:paraId="35E2AC50">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响应性评审标准</w:t>
            </w:r>
          </w:p>
          <w:p w14:paraId="3DC80F72">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tcPr>
          <w:p w14:paraId="41E64EDC">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投标内容</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6F7964F4">
            <w:pPr>
              <w:spacing w:line="276"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赣榆区墩尚镇刘欢线（刘湾中心十字路-后舵桥）改建工程（政府采购工程）（专门面向中小企业）</w:t>
            </w:r>
          </w:p>
        </w:tc>
      </w:tr>
      <w:tr w14:paraId="6D8E3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5798EBAF">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top w:val="single" w:color="auto" w:sz="4" w:space="0"/>
              <w:left w:val="single" w:color="auto" w:sz="4" w:space="0"/>
              <w:bottom w:val="single" w:color="auto" w:sz="4" w:space="0"/>
              <w:right w:val="single" w:color="auto" w:sz="4" w:space="0"/>
            </w:tcBorders>
            <w:noWrap w:val="0"/>
            <w:vAlign w:val="center"/>
          </w:tcPr>
          <w:p w14:paraId="58914FD8">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5D2EC706">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工期</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052CB480">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45</w:t>
            </w:r>
            <w:r>
              <w:rPr>
                <w:rFonts w:hint="eastAsia"/>
                <w:color w:val="000000" w:themeColor="text1"/>
                <w:highlight w:val="none"/>
                <w14:textFill>
                  <w14:solidFill>
                    <w14:schemeClr w14:val="tx1"/>
                  </w14:solidFill>
                </w14:textFill>
              </w:rPr>
              <w:t>日历天（以实际开工令为准）。</w:t>
            </w:r>
          </w:p>
        </w:tc>
      </w:tr>
      <w:tr w14:paraId="394D0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1BBAD621">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top w:val="single" w:color="auto" w:sz="4" w:space="0"/>
              <w:left w:val="single" w:color="auto" w:sz="4" w:space="0"/>
              <w:bottom w:val="single" w:color="auto" w:sz="4" w:space="0"/>
              <w:right w:val="single" w:color="auto" w:sz="4" w:space="0"/>
            </w:tcBorders>
            <w:noWrap w:val="0"/>
            <w:vAlign w:val="center"/>
          </w:tcPr>
          <w:p w14:paraId="6663BB23">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25B5311E">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质量要求</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384671B6">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执行国家现行验收标准，等级为合格</w:t>
            </w:r>
          </w:p>
        </w:tc>
      </w:tr>
      <w:tr w14:paraId="590DF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5C45170F">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top w:val="single" w:color="auto" w:sz="4" w:space="0"/>
              <w:left w:val="single" w:color="auto" w:sz="4" w:space="0"/>
              <w:bottom w:val="single" w:color="auto" w:sz="4" w:space="0"/>
              <w:right w:val="single" w:color="auto" w:sz="4" w:space="0"/>
            </w:tcBorders>
            <w:noWrap w:val="0"/>
            <w:vAlign w:val="center"/>
          </w:tcPr>
          <w:p w14:paraId="6E128238">
            <w:pPr>
              <w:spacing w:line="276"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311597B5">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已标价工程量清单</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0DA9A403">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符合第五章“工程量清单”给出的范围及数量</w:t>
            </w:r>
          </w:p>
        </w:tc>
      </w:tr>
      <w:tr w14:paraId="79D3E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25F0571F">
            <w:pPr>
              <w:spacing w:line="276" w:lineRule="auto"/>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top w:val="single" w:color="auto" w:sz="4" w:space="0"/>
              <w:left w:val="single" w:color="auto" w:sz="4" w:space="0"/>
              <w:bottom w:val="single" w:color="auto" w:sz="4" w:space="0"/>
              <w:right w:val="single" w:color="auto" w:sz="4" w:space="0"/>
            </w:tcBorders>
            <w:noWrap w:val="0"/>
          </w:tcPr>
          <w:p w14:paraId="7537B5A6">
            <w:pPr>
              <w:spacing w:line="276" w:lineRule="auto"/>
              <w:rPr>
                <w:rFonts w:hint="eastAsia" w:ascii="宋体" w:hAnsi="宋体" w:eastAsia="宋体" w:cs="宋体"/>
                <w:color w:val="000000" w:themeColor="text1"/>
                <w:szCs w:val="21"/>
                <w:highlight w:val="none"/>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4885FE0E">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其他</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1640807C">
            <w:pPr>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无</w:t>
            </w:r>
            <w:r>
              <w:rPr>
                <w:rFonts w:hint="eastAsia" w:ascii="宋体" w:hAnsi="宋体" w:eastAsia="宋体" w:cs="宋体"/>
                <w:color w:val="000000" w:themeColor="text1"/>
                <w:highlight w:val="none"/>
                <w14:textFill>
                  <w14:solidFill>
                    <w14:schemeClr w14:val="tx1"/>
                  </w14:solidFill>
                </w14:textFill>
              </w:rPr>
              <w:t>第二章“五、磋商与评审”中5.3条所列情形之一</w:t>
            </w:r>
          </w:p>
        </w:tc>
      </w:tr>
      <w:tr w14:paraId="0A530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0440" w:type="dxa"/>
            <w:gridSpan w:val="4"/>
            <w:tcBorders>
              <w:top w:val="single" w:color="auto" w:sz="4" w:space="0"/>
              <w:left w:val="single" w:color="auto" w:sz="4" w:space="0"/>
              <w:bottom w:val="single" w:color="auto" w:sz="4" w:space="0"/>
              <w:right w:val="single" w:color="auto" w:sz="4" w:space="0"/>
            </w:tcBorders>
            <w:noWrap w:val="0"/>
          </w:tcPr>
          <w:p w14:paraId="57B8E07A">
            <w:pPr>
              <w:pStyle w:val="5"/>
              <w:ind w:firstLine="10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分值构成与评分标准 </w:t>
            </w:r>
          </w:p>
        </w:tc>
      </w:tr>
      <w:tr w14:paraId="11CBD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4D344A78">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序号</w:t>
            </w:r>
          </w:p>
        </w:tc>
        <w:tc>
          <w:tcPr>
            <w:tcW w:w="907" w:type="dxa"/>
            <w:tcBorders>
              <w:top w:val="single" w:color="auto" w:sz="4" w:space="0"/>
              <w:left w:val="single" w:color="auto" w:sz="4" w:space="0"/>
              <w:bottom w:val="single" w:color="auto" w:sz="4" w:space="0"/>
              <w:right w:val="single" w:color="auto" w:sz="4" w:space="0"/>
            </w:tcBorders>
            <w:noWrap w:val="0"/>
            <w:vAlign w:val="center"/>
          </w:tcPr>
          <w:p w14:paraId="183C5E87">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内容</w:t>
            </w:r>
          </w:p>
        </w:tc>
        <w:tc>
          <w:tcPr>
            <w:tcW w:w="1602" w:type="dxa"/>
            <w:tcBorders>
              <w:top w:val="single" w:color="auto" w:sz="4" w:space="0"/>
              <w:left w:val="single" w:color="auto" w:sz="4" w:space="0"/>
              <w:bottom w:val="single" w:color="auto" w:sz="4" w:space="0"/>
              <w:right w:val="single" w:color="auto" w:sz="4" w:space="0"/>
            </w:tcBorders>
            <w:noWrap w:val="0"/>
            <w:vAlign w:val="center"/>
          </w:tcPr>
          <w:p w14:paraId="1F46DA1A">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评分内容及</w:t>
            </w:r>
          </w:p>
          <w:p w14:paraId="0BFA7BCF">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分数</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739C5554">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评分要求</w:t>
            </w:r>
          </w:p>
        </w:tc>
      </w:tr>
      <w:tr w14:paraId="765C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70690EAC">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907" w:type="dxa"/>
            <w:tcBorders>
              <w:top w:val="single" w:color="auto" w:sz="4" w:space="0"/>
              <w:left w:val="single" w:color="auto" w:sz="4" w:space="0"/>
              <w:bottom w:val="single" w:color="auto" w:sz="4" w:space="0"/>
              <w:right w:val="single" w:color="auto" w:sz="4" w:space="0"/>
            </w:tcBorders>
            <w:noWrap w:val="0"/>
            <w:vAlign w:val="center"/>
          </w:tcPr>
          <w:p w14:paraId="477CE964">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价格</w:t>
            </w:r>
          </w:p>
          <w:p w14:paraId="2115B709">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评审</w:t>
            </w:r>
          </w:p>
        </w:tc>
        <w:tc>
          <w:tcPr>
            <w:tcW w:w="1602" w:type="dxa"/>
            <w:tcBorders>
              <w:top w:val="single" w:color="auto" w:sz="4" w:space="0"/>
              <w:left w:val="single" w:color="auto" w:sz="4" w:space="0"/>
              <w:bottom w:val="single" w:color="auto" w:sz="4" w:space="0"/>
              <w:right w:val="single" w:color="auto" w:sz="4" w:space="0"/>
            </w:tcBorders>
            <w:noWrap w:val="0"/>
            <w:vAlign w:val="center"/>
          </w:tcPr>
          <w:p w14:paraId="55ABDE23">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w:t>
            </w:r>
          </w:p>
          <w:p w14:paraId="0F4882D7">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14:textFill>
                  <w14:solidFill>
                    <w14:schemeClr w14:val="tx1"/>
                  </w14:solidFill>
                </w14:textFill>
              </w:rPr>
              <w:t>分</w:t>
            </w:r>
          </w:p>
        </w:tc>
        <w:tc>
          <w:tcPr>
            <w:tcW w:w="7250" w:type="dxa"/>
            <w:tcBorders>
              <w:top w:val="single" w:color="auto" w:sz="4" w:space="0"/>
              <w:left w:val="single" w:color="auto" w:sz="4" w:space="0"/>
              <w:bottom w:val="single" w:color="auto" w:sz="4" w:space="0"/>
              <w:right w:val="single" w:color="auto" w:sz="4" w:space="0"/>
            </w:tcBorders>
            <w:noWrap w:val="0"/>
            <w:vAlign w:val="center"/>
          </w:tcPr>
          <w:p w14:paraId="48219795">
            <w:pPr>
              <w:pStyle w:val="21"/>
              <w:spacing w:line="36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评标基准分：</w:t>
            </w:r>
            <w:r>
              <w:rPr>
                <w:rFonts w:hint="eastAsia" w:hAnsi="宋体"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14:textFill>
                  <w14:solidFill>
                    <w14:schemeClr w14:val="tx1"/>
                  </w14:solidFill>
                </w14:textFill>
              </w:rPr>
              <w:t>分</w:t>
            </w:r>
          </w:p>
          <w:p w14:paraId="24B6C1EE">
            <w:pPr>
              <w:pStyle w:val="21"/>
              <w:spacing w:line="36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评标基准价：投标报价统一采用低价优先法计算，即满足磋商文件要求且最后报价最低的供应商的价格为磋商基准价，其价格分为满分。其他供应商的价格分统一按照下列公式计算： </w:t>
            </w:r>
          </w:p>
          <w:p w14:paraId="5774BCD6">
            <w:pPr>
              <w:pStyle w:val="21"/>
              <w:spacing w:line="36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磋商报价得分=（磋商基准价/最后磋商报价）×</w:t>
            </w:r>
            <w:r>
              <w:rPr>
                <w:rFonts w:hint="eastAsia" w:hAnsi="宋体"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14:textFill>
                  <w14:solidFill>
                    <w14:schemeClr w14:val="tx1"/>
                  </w14:solidFill>
                </w14:textFill>
              </w:rPr>
              <w:t>分（四舍五入后保留小数点后两位）</w:t>
            </w:r>
          </w:p>
          <w:p w14:paraId="407845A8">
            <w:pPr>
              <w:pStyle w:val="21"/>
              <w:spacing w:line="36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项目评审过程中，不得去掉最后报价中的最高报价和最低报价。  </w:t>
            </w:r>
          </w:p>
        </w:tc>
      </w:tr>
      <w:tr w14:paraId="2E95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jc w:val="center"/>
        </w:trPr>
        <w:tc>
          <w:tcPr>
            <w:tcW w:w="681" w:type="dxa"/>
            <w:vMerge w:val="restart"/>
            <w:tcBorders>
              <w:top w:val="single" w:color="auto" w:sz="4" w:space="0"/>
              <w:left w:val="single" w:color="auto" w:sz="4" w:space="0"/>
              <w:right w:val="single" w:color="auto" w:sz="4" w:space="0"/>
            </w:tcBorders>
            <w:noWrap w:val="0"/>
            <w:vAlign w:val="center"/>
          </w:tcPr>
          <w:p w14:paraId="34E82057">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907" w:type="dxa"/>
            <w:vMerge w:val="restart"/>
            <w:tcBorders>
              <w:top w:val="single" w:color="auto" w:sz="4" w:space="0"/>
              <w:left w:val="single" w:color="auto" w:sz="4" w:space="0"/>
              <w:right w:val="single" w:color="auto" w:sz="4" w:space="0"/>
            </w:tcBorders>
            <w:noWrap w:val="0"/>
            <w:vAlign w:val="center"/>
          </w:tcPr>
          <w:p w14:paraId="1FFDDE39">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技术</w:t>
            </w:r>
          </w:p>
          <w:p w14:paraId="1ACAC74A">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评审</w:t>
            </w:r>
          </w:p>
        </w:tc>
        <w:tc>
          <w:tcPr>
            <w:tcW w:w="1602" w:type="dxa"/>
            <w:vMerge w:val="restart"/>
            <w:tcBorders>
              <w:top w:val="single" w:color="auto" w:sz="4" w:space="0"/>
              <w:left w:val="single" w:color="auto" w:sz="4" w:space="0"/>
              <w:right w:val="single" w:color="auto" w:sz="4" w:space="0"/>
            </w:tcBorders>
            <w:noWrap w:val="0"/>
            <w:vAlign w:val="center"/>
          </w:tcPr>
          <w:p w14:paraId="342CB153">
            <w:pPr>
              <w:pStyle w:val="60"/>
              <w:widowControl w:val="0"/>
              <w:ind w:firstLine="0"/>
              <w:jc w:val="center"/>
              <w:rPr>
                <w:rFonts w:hint="eastAsia" w:ascii="宋体" w:hAnsi="宋体" w:eastAsia="宋体" w:cs="宋体"/>
                <w:color w:val="000000" w:themeColor="text1"/>
                <w:sz w:val="22"/>
                <w:szCs w:val="21"/>
                <w:highlight w:val="none"/>
                <w:lang w:val="en-US" w:eastAsia="en-US" w:bidi="ar"/>
                <w14:textFill>
                  <w14:solidFill>
                    <w14:schemeClr w14:val="tx1"/>
                  </w14:solidFill>
                </w14:textFill>
              </w:rPr>
            </w:pPr>
            <w:r>
              <w:rPr>
                <w:rFonts w:hint="eastAsia" w:ascii="宋体" w:hAnsi="宋体" w:eastAsia="宋体" w:cs="宋体"/>
                <w:color w:val="000000" w:themeColor="text1"/>
                <w:sz w:val="22"/>
                <w:szCs w:val="21"/>
                <w:highlight w:val="none"/>
                <w:lang w:val="en-US" w:eastAsia="en-US" w:bidi="ar"/>
                <w14:textFill>
                  <w14:solidFill>
                    <w14:schemeClr w14:val="tx1"/>
                  </w14:solidFill>
                </w14:textFill>
              </w:rPr>
              <w:t>施工组织设计（</w:t>
            </w:r>
            <w:r>
              <w:rPr>
                <w:rFonts w:hint="eastAsia" w:hAnsi="宋体" w:cs="宋体"/>
                <w:color w:val="000000" w:themeColor="text1"/>
                <w:sz w:val="22"/>
                <w:szCs w:val="21"/>
                <w:highlight w:val="none"/>
                <w:lang w:val="en-US" w:eastAsia="zh-CN" w:bidi="ar"/>
                <w14:textFill>
                  <w14:solidFill>
                    <w14:schemeClr w14:val="tx1"/>
                  </w14:solidFill>
                </w14:textFill>
              </w:rPr>
              <w:t>47</w:t>
            </w:r>
            <w:r>
              <w:rPr>
                <w:rFonts w:hint="eastAsia" w:ascii="宋体" w:hAnsi="宋体" w:eastAsia="宋体" w:cs="宋体"/>
                <w:color w:val="000000" w:themeColor="text1"/>
                <w:sz w:val="22"/>
                <w:szCs w:val="21"/>
                <w:highlight w:val="none"/>
                <w:lang w:val="en-US" w:eastAsia="en-US" w:bidi="ar"/>
                <w14:textFill>
                  <w14:solidFill>
                    <w14:schemeClr w14:val="tx1"/>
                  </w14:solidFill>
                </w14:textFill>
              </w:rPr>
              <w:t>分）</w:t>
            </w:r>
          </w:p>
        </w:tc>
        <w:tc>
          <w:tcPr>
            <w:tcW w:w="7250" w:type="dxa"/>
            <w:tcBorders>
              <w:top w:val="single" w:color="auto" w:sz="4" w:space="0"/>
              <w:left w:val="single" w:color="auto" w:sz="4" w:space="0"/>
              <w:bottom w:val="single" w:color="auto" w:sz="4" w:space="0"/>
              <w:right w:val="single" w:color="auto" w:sz="4" w:space="0"/>
            </w:tcBorders>
            <w:noWrap w:val="0"/>
            <w:vAlign w:val="top"/>
          </w:tcPr>
          <w:p w14:paraId="55D7BE2A">
            <w:pPr>
              <w:widowControl/>
              <w:spacing w:line="360" w:lineRule="auto"/>
              <w:jc w:val="left"/>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cs="宋体"/>
                <w:b/>
                <w:bCs/>
                <w:color w:val="000000" w:themeColor="text1"/>
                <w:szCs w:val="21"/>
                <w:highlight w:val="none"/>
                <w:lang w:val="en-US" w:eastAsia="zh-CN"/>
                <w14:textFill>
                  <w14:solidFill>
                    <w14:schemeClr w14:val="tx1"/>
                  </w14:solidFill>
                </w14:textFill>
              </w:rPr>
              <w:t>1、</w:t>
            </w:r>
            <w:r>
              <w:rPr>
                <w:rFonts w:hint="eastAsia" w:ascii="宋体" w:hAnsi="宋体" w:eastAsia="宋体" w:cs="宋体"/>
                <w:b/>
                <w:bCs/>
                <w:color w:val="000000" w:themeColor="text1"/>
                <w:szCs w:val="21"/>
                <w:highlight w:val="none"/>
                <w:lang w:val="en-US" w:eastAsia="zh-CN"/>
                <w14:textFill>
                  <w14:solidFill>
                    <w14:schemeClr w14:val="tx1"/>
                  </w14:solidFill>
                </w14:textFill>
              </w:rPr>
              <w:t>总体概述：施工组织总体设想、方案针对性及施工段划分</w:t>
            </w:r>
            <w:r>
              <w:rPr>
                <w:rFonts w:hint="eastAsia" w:cs="宋体"/>
                <w:b/>
                <w:bCs/>
                <w:color w:val="000000" w:themeColor="text1"/>
                <w:szCs w:val="21"/>
                <w:highlight w:val="none"/>
                <w:lang w:val="en-US" w:eastAsia="zh-CN"/>
                <w14:textFill>
                  <w14:solidFill>
                    <w14:schemeClr w14:val="tx1"/>
                  </w14:solidFill>
                </w14:textFill>
              </w:rPr>
              <w:t>（6分）</w:t>
            </w:r>
          </w:p>
          <w:p w14:paraId="3C5F9AE3">
            <w:pPr>
              <w:widowControl/>
              <w:spacing w:line="360" w:lineRule="auto"/>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优：施工部署科学性、合理性、针对性强：</w:t>
            </w:r>
            <w:r>
              <w:rPr>
                <w:rFonts w:hint="eastAsia"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 </w:t>
            </w:r>
          </w:p>
          <w:p w14:paraId="70696E95">
            <w:pPr>
              <w:widowControl/>
              <w:spacing w:line="360" w:lineRule="auto"/>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良：施工部署基本合理，较可行、针对性较强：</w:t>
            </w:r>
            <w:r>
              <w:rPr>
                <w:rFonts w:hint="eastAsia"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lang w:val="en-US" w:eastAsia="zh-CN"/>
                <w14:textFill>
                  <w14:solidFill>
                    <w14:schemeClr w14:val="tx1"/>
                  </w14:solidFill>
                </w14:textFill>
              </w:rPr>
              <w:t>分；</w:t>
            </w:r>
          </w:p>
          <w:p w14:paraId="2D3A701B">
            <w:pPr>
              <w:widowControl/>
              <w:spacing w:line="360" w:lineRule="auto"/>
              <w:ind w:right="-143" w:rightChars="-65"/>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一般：施工部署合理性、保证措施可行性、针对性一般得：</w:t>
            </w:r>
            <w:r>
              <w:rPr>
                <w:rFonts w:hint="eastAsia"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   </w:t>
            </w:r>
          </w:p>
          <w:p w14:paraId="2F029A7F">
            <w:pPr>
              <w:widowControl/>
              <w:spacing w:line="36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注：未见阐述此项不得分。</w:t>
            </w:r>
          </w:p>
        </w:tc>
      </w:tr>
      <w:tr w14:paraId="6C0EC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681" w:type="dxa"/>
            <w:vMerge w:val="continue"/>
            <w:tcBorders>
              <w:left w:val="single" w:color="auto" w:sz="4" w:space="0"/>
              <w:right w:val="single" w:color="auto" w:sz="4" w:space="0"/>
            </w:tcBorders>
            <w:noWrap w:val="0"/>
            <w:vAlign w:val="center"/>
          </w:tcPr>
          <w:p w14:paraId="57BDA4C4">
            <w:pP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left w:val="single" w:color="auto" w:sz="4" w:space="0"/>
              <w:right w:val="single" w:color="auto" w:sz="4" w:space="0"/>
            </w:tcBorders>
            <w:noWrap w:val="0"/>
            <w:vAlign w:val="center"/>
          </w:tcPr>
          <w:p w14:paraId="3B8EE75C">
            <w:pPr>
              <w:rPr>
                <w:rFonts w:hint="eastAsia" w:ascii="宋体" w:hAnsi="宋体" w:eastAsia="宋体" w:cs="宋体"/>
                <w:color w:val="000000" w:themeColor="text1"/>
                <w:szCs w:val="21"/>
                <w:highlight w:val="none"/>
                <w14:textFill>
                  <w14:solidFill>
                    <w14:schemeClr w14:val="tx1"/>
                  </w14:solidFill>
                </w14:textFill>
              </w:rPr>
            </w:pPr>
          </w:p>
        </w:tc>
        <w:tc>
          <w:tcPr>
            <w:tcW w:w="1602" w:type="dxa"/>
            <w:vMerge w:val="continue"/>
            <w:tcBorders>
              <w:left w:val="single" w:color="auto" w:sz="4" w:space="0"/>
              <w:right w:val="single" w:color="auto" w:sz="4" w:space="0"/>
            </w:tcBorders>
            <w:noWrap w:val="0"/>
          </w:tcPr>
          <w:p w14:paraId="4541B76B">
            <w:pPr>
              <w:pStyle w:val="60"/>
              <w:widowControl w:val="0"/>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7250" w:type="dxa"/>
            <w:tcBorders>
              <w:top w:val="single" w:color="auto" w:sz="4" w:space="0"/>
              <w:left w:val="single" w:color="auto" w:sz="4" w:space="0"/>
              <w:bottom w:val="single" w:color="auto" w:sz="4" w:space="0"/>
              <w:right w:val="single" w:color="auto" w:sz="4" w:space="0"/>
            </w:tcBorders>
            <w:noWrap w:val="0"/>
            <w:vAlign w:val="top"/>
          </w:tcPr>
          <w:p w14:paraId="242A8422">
            <w:pPr>
              <w:widowControl/>
              <w:spacing w:line="360" w:lineRule="auto"/>
              <w:jc w:val="left"/>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cs="宋体"/>
                <w:b/>
                <w:bCs/>
                <w:color w:val="000000" w:themeColor="text1"/>
                <w:szCs w:val="21"/>
                <w:highlight w:val="none"/>
                <w:lang w:val="en-US" w:eastAsia="zh-CN"/>
                <w14:textFill>
                  <w14:solidFill>
                    <w14:schemeClr w14:val="tx1"/>
                  </w14:solidFill>
                </w14:textFill>
              </w:rPr>
              <w:t>2、</w:t>
            </w:r>
            <w:r>
              <w:rPr>
                <w:rFonts w:hint="eastAsia" w:ascii="宋体" w:hAnsi="宋体" w:eastAsia="宋体" w:cs="宋体"/>
                <w:b/>
                <w:bCs/>
                <w:color w:val="000000" w:themeColor="text1"/>
                <w:szCs w:val="21"/>
                <w:highlight w:val="none"/>
                <w:lang w:val="en-US" w:eastAsia="zh-CN"/>
                <w14:textFill>
                  <w14:solidFill>
                    <w14:schemeClr w14:val="tx1"/>
                  </w14:solidFill>
                </w14:textFill>
              </w:rPr>
              <w:t>施工现场平面布置和临时设施、临时道路布置</w:t>
            </w:r>
            <w:r>
              <w:rPr>
                <w:rFonts w:hint="eastAsia" w:cs="宋体"/>
                <w:b/>
                <w:bCs/>
                <w:color w:val="000000" w:themeColor="text1"/>
                <w:szCs w:val="21"/>
                <w:highlight w:val="none"/>
                <w:lang w:val="en-US" w:eastAsia="zh-CN"/>
                <w14:textFill>
                  <w14:solidFill>
                    <w14:schemeClr w14:val="tx1"/>
                  </w14:solidFill>
                </w14:textFill>
              </w:rPr>
              <w:t>（6分）</w:t>
            </w:r>
          </w:p>
          <w:p w14:paraId="110111DC">
            <w:pPr>
              <w:widowControl/>
              <w:spacing w:line="360" w:lineRule="auto"/>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优：合理性、可行性强：6分；</w:t>
            </w:r>
          </w:p>
          <w:p w14:paraId="5E3F7E11">
            <w:pPr>
              <w:widowControl/>
              <w:spacing w:line="360" w:lineRule="auto"/>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良：合理性、可行性较强：</w:t>
            </w:r>
            <w:r>
              <w:rPr>
                <w:rFonts w:hint="eastAsia"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lang w:val="en-US" w:eastAsia="zh-CN"/>
                <w14:textFill>
                  <w14:solidFill>
                    <w14:schemeClr w14:val="tx1"/>
                  </w14:solidFill>
                </w14:textFill>
              </w:rPr>
              <w:t>分；</w:t>
            </w:r>
          </w:p>
          <w:p w14:paraId="09628192">
            <w:pPr>
              <w:widowControl/>
              <w:spacing w:line="360" w:lineRule="auto"/>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一般: 合理性、可行性一般：</w:t>
            </w:r>
            <w:r>
              <w:rPr>
                <w:rFonts w:hint="eastAsia"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分。</w:t>
            </w:r>
          </w:p>
          <w:p w14:paraId="564DBD7F">
            <w:pPr>
              <w:widowControl/>
              <w:spacing w:line="36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注：未见阐述此项不得分。</w:t>
            </w:r>
          </w:p>
        </w:tc>
      </w:tr>
      <w:tr w14:paraId="1D958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atLeast"/>
          <w:jc w:val="center"/>
        </w:trPr>
        <w:tc>
          <w:tcPr>
            <w:tcW w:w="681" w:type="dxa"/>
            <w:vMerge w:val="continue"/>
            <w:tcBorders>
              <w:left w:val="single" w:color="auto" w:sz="4" w:space="0"/>
              <w:right w:val="single" w:color="auto" w:sz="4" w:space="0"/>
            </w:tcBorders>
            <w:noWrap w:val="0"/>
            <w:vAlign w:val="center"/>
          </w:tcPr>
          <w:p w14:paraId="0EF9DB09">
            <w:pP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left w:val="single" w:color="auto" w:sz="4" w:space="0"/>
              <w:right w:val="single" w:color="auto" w:sz="4" w:space="0"/>
            </w:tcBorders>
            <w:noWrap w:val="0"/>
            <w:vAlign w:val="center"/>
          </w:tcPr>
          <w:p w14:paraId="0F4AE86E">
            <w:pPr>
              <w:rPr>
                <w:rFonts w:hint="eastAsia" w:ascii="宋体" w:hAnsi="宋体" w:eastAsia="宋体" w:cs="宋体"/>
                <w:color w:val="000000" w:themeColor="text1"/>
                <w:szCs w:val="21"/>
                <w:highlight w:val="none"/>
                <w14:textFill>
                  <w14:solidFill>
                    <w14:schemeClr w14:val="tx1"/>
                  </w14:solidFill>
                </w14:textFill>
              </w:rPr>
            </w:pPr>
          </w:p>
        </w:tc>
        <w:tc>
          <w:tcPr>
            <w:tcW w:w="1602" w:type="dxa"/>
            <w:vMerge w:val="continue"/>
            <w:tcBorders>
              <w:left w:val="single" w:color="auto" w:sz="4" w:space="0"/>
              <w:right w:val="single" w:color="auto" w:sz="4" w:space="0"/>
            </w:tcBorders>
            <w:noWrap w:val="0"/>
          </w:tcPr>
          <w:p w14:paraId="63143878">
            <w:pPr>
              <w:pStyle w:val="60"/>
              <w:widowControl w:val="0"/>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7250" w:type="dxa"/>
            <w:tcBorders>
              <w:top w:val="single" w:color="auto" w:sz="4" w:space="0"/>
              <w:left w:val="single" w:color="auto" w:sz="4" w:space="0"/>
              <w:bottom w:val="single" w:color="auto" w:sz="4" w:space="0"/>
              <w:right w:val="single" w:color="auto" w:sz="4" w:space="0"/>
            </w:tcBorders>
            <w:noWrap w:val="0"/>
            <w:vAlign w:val="top"/>
          </w:tcPr>
          <w:p w14:paraId="0AD99C00">
            <w:pPr>
              <w:widowControl/>
              <w:spacing w:line="360" w:lineRule="auto"/>
              <w:jc w:val="left"/>
              <w:rPr>
                <w:rFonts w:hint="eastAsia" w:ascii="宋体" w:hAnsi="宋体" w:eastAsia="宋体" w:cs="宋体"/>
                <w:b/>
                <w:bCs/>
                <w:color w:val="000000" w:themeColor="text1"/>
                <w:szCs w:val="21"/>
                <w:highlight w:val="none"/>
                <w:lang w:val="en-US" w:eastAsia="zh-CN" w:bidi="ar"/>
                <w14:textFill>
                  <w14:solidFill>
                    <w14:schemeClr w14:val="tx1"/>
                  </w14:solidFill>
                </w14:textFill>
              </w:rPr>
            </w:pPr>
            <w:r>
              <w:rPr>
                <w:rFonts w:hint="eastAsia" w:cs="宋体"/>
                <w:b/>
                <w:bCs/>
                <w:color w:val="000000" w:themeColor="text1"/>
                <w:szCs w:val="21"/>
                <w:highlight w:val="none"/>
                <w:lang w:val="en-US" w:eastAsia="zh-CN" w:bidi="ar"/>
                <w14:textFill>
                  <w14:solidFill>
                    <w14:schemeClr w14:val="tx1"/>
                  </w14:solidFill>
                </w14:textFill>
              </w:rPr>
              <w:t>3、</w:t>
            </w:r>
            <w:r>
              <w:rPr>
                <w:rFonts w:hint="eastAsia" w:ascii="宋体" w:hAnsi="宋体" w:eastAsia="宋体" w:cs="宋体"/>
                <w:b/>
                <w:bCs/>
                <w:color w:val="000000" w:themeColor="text1"/>
                <w:szCs w:val="21"/>
                <w:highlight w:val="none"/>
                <w:lang w:val="en-US" w:eastAsia="zh-CN" w:bidi="ar"/>
                <w14:textFill>
                  <w14:solidFill>
                    <w14:schemeClr w14:val="tx1"/>
                  </w14:solidFill>
                </w14:textFill>
              </w:rPr>
              <w:t>施工进度计划和各阶段进度的保证措施</w:t>
            </w:r>
            <w:r>
              <w:rPr>
                <w:rFonts w:hint="eastAsia" w:cs="宋体"/>
                <w:b/>
                <w:bCs/>
                <w:color w:val="000000" w:themeColor="text1"/>
                <w:szCs w:val="21"/>
                <w:highlight w:val="none"/>
                <w:lang w:val="en-US" w:eastAsia="zh-CN"/>
                <w14:textFill>
                  <w14:solidFill>
                    <w14:schemeClr w14:val="tx1"/>
                  </w14:solidFill>
                </w14:textFill>
              </w:rPr>
              <w:t>（7分）</w:t>
            </w:r>
          </w:p>
          <w:p w14:paraId="7E2966C2">
            <w:pPr>
              <w:widowControl/>
              <w:spacing w:line="360" w:lineRule="auto"/>
              <w:jc w:val="left"/>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优：进度计划详尽，各阶段进度的保证措施清晰准确：</w:t>
            </w:r>
            <w:r>
              <w:rPr>
                <w:rFonts w:hint="eastAsia" w:cs="宋体"/>
                <w:color w:val="000000" w:themeColor="text1"/>
                <w:szCs w:val="21"/>
                <w:highlight w:val="none"/>
                <w:lang w:val="en-US" w:eastAsia="zh-CN" w:bidi="ar"/>
                <w14:textFill>
                  <w14:solidFill>
                    <w14:schemeClr w14:val="tx1"/>
                  </w14:solidFill>
                </w14:textFill>
              </w:rPr>
              <w:t>7</w:t>
            </w:r>
            <w:r>
              <w:rPr>
                <w:rFonts w:hint="eastAsia" w:ascii="宋体" w:hAnsi="宋体" w:eastAsia="宋体" w:cs="宋体"/>
                <w:color w:val="000000" w:themeColor="text1"/>
                <w:szCs w:val="21"/>
                <w:highlight w:val="none"/>
                <w:lang w:val="en-US" w:eastAsia="zh-CN" w:bidi="ar"/>
                <w14:textFill>
                  <w14:solidFill>
                    <w14:schemeClr w14:val="tx1"/>
                  </w14:solidFill>
                </w14:textFill>
              </w:rPr>
              <w:t>分；</w:t>
            </w:r>
          </w:p>
          <w:p w14:paraId="38237530">
            <w:pPr>
              <w:widowControl/>
              <w:tabs>
                <w:tab w:val="left" w:pos="6380"/>
              </w:tabs>
              <w:spacing w:line="360" w:lineRule="auto"/>
              <w:ind w:right="-143" w:rightChars="-65"/>
              <w:jc w:val="left"/>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良：进度计划较详尽，各阶段进度的保证措施较清晰明确：</w:t>
            </w:r>
            <w:r>
              <w:rPr>
                <w:rFonts w:hint="eastAsia" w:cs="宋体"/>
                <w:color w:val="000000" w:themeColor="text1"/>
                <w:szCs w:val="21"/>
                <w:highlight w:val="none"/>
                <w:lang w:val="en-US" w:eastAsia="zh-CN" w:bidi="ar"/>
                <w14:textFill>
                  <w14:solidFill>
                    <w14:schemeClr w14:val="tx1"/>
                  </w14:solidFill>
                </w14:textFill>
              </w:rPr>
              <w:t>5</w:t>
            </w:r>
            <w:r>
              <w:rPr>
                <w:rFonts w:hint="eastAsia" w:ascii="宋体" w:hAnsi="宋体" w:eastAsia="宋体" w:cs="宋体"/>
                <w:color w:val="000000" w:themeColor="text1"/>
                <w:szCs w:val="21"/>
                <w:highlight w:val="none"/>
                <w:lang w:val="en-US" w:eastAsia="zh-CN" w:bidi="ar"/>
                <w14:textFill>
                  <w14:solidFill>
                    <w14:schemeClr w14:val="tx1"/>
                  </w14:solidFill>
                </w14:textFill>
              </w:rPr>
              <w:t>分；</w:t>
            </w:r>
          </w:p>
          <w:p w14:paraId="4AB8B3A3">
            <w:pPr>
              <w:widowControl/>
              <w:spacing w:line="360" w:lineRule="auto"/>
              <w:jc w:val="left"/>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一般：进度计划简单，各阶段进度的保证措施一般：</w:t>
            </w:r>
            <w:r>
              <w:rPr>
                <w:rFonts w:hint="eastAsia" w:cs="宋体"/>
                <w:color w:val="000000" w:themeColor="text1"/>
                <w:szCs w:val="21"/>
                <w:highlight w:val="none"/>
                <w:lang w:val="en-US" w:eastAsia="zh-CN" w:bidi="ar"/>
                <w14:textFill>
                  <w14:solidFill>
                    <w14:schemeClr w14:val="tx1"/>
                  </w14:solidFill>
                </w14:textFill>
              </w:rPr>
              <w:t>3</w:t>
            </w:r>
            <w:r>
              <w:rPr>
                <w:rFonts w:hint="eastAsia" w:ascii="宋体" w:hAnsi="宋体" w:eastAsia="宋体" w:cs="宋体"/>
                <w:color w:val="000000" w:themeColor="text1"/>
                <w:szCs w:val="21"/>
                <w:highlight w:val="none"/>
                <w:lang w:val="en-US" w:eastAsia="zh-CN" w:bidi="ar"/>
                <w14:textFill>
                  <w14:solidFill>
                    <w14:schemeClr w14:val="tx1"/>
                  </w14:solidFill>
                </w14:textFill>
              </w:rPr>
              <w:t>分；</w:t>
            </w:r>
          </w:p>
          <w:p w14:paraId="1878A866">
            <w:pPr>
              <w:widowControl/>
              <w:spacing w:line="36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注：未见阐述此项不得分。</w:t>
            </w:r>
            <w:r>
              <w:rPr>
                <w:rFonts w:hint="eastAsia" w:ascii="宋体" w:hAnsi="宋体" w:eastAsia="宋体" w:cs="宋体"/>
                <w:color w:val="000000" w:themeColor="text1"/>
                <w:szCs w:val="21"/>
                <w:highlight w:val="none"/>
                <w:lang w:bidi="ar"/>
                <w14:textFill>
                  <w14:solidFill>
                    <w14:schemeClr w14:val="tx1"/>
                  </w14:solidFill>
                </w14:textFill>
              </w:rPr>
              <w:t xml:space="preserve"> </w:t>
            </w:r>
          </w:p>
        </w:tc>
      </w:tr>
      <w:tr w14:paraId="7C78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jc w:val="center"/>
        </w:trPr>
        <w:tc>
          <w:tcPr>
            <w:tcW w:w="681" w:type="dxa"/>
            <w:vMerge w:val="continue"/>
            <w:tcBorders>
              <w:left w:val="single" w:color="auto" w:sz="4" w:space="0"/>
              <w:right w:val="single" w:color="auto" w:sz="4" w:space="0"/>
            </w:tcBorders>
            <w:noWrap w:val="0"/>
            <w:vAlign w:val="center"/>
          </w:tcPr>
          <w:p w14:paraId="54EA8A83">
            <w:pP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left w:val="single" w:color="auto" w:sz="4" w:space="0"/>
              <w:right w:val="single" w:color="auto" w:sz="4" w:space="0"/>
            </w:tcBorders>
            <w:noWrap w:val="0"/>
            <w:vAlign w:val="center"/>
          </w:tcPr>
          <w:p w14:paraId="13F90EF1">
            <w:pPr>
              <w:rPr>
                <w:rFonts w:hint="eastAsia" w:ascii="宋体" w:hAnsi="宋体" w:eastAsia="宋体" w:cs="宋体"/>
                <w:color w:val="000000" w:themeColor="text1"/>
                <w:szCs w:val="21"/>
                <w:highlight w:val="none"/>
                <w14:textFill>
                  <w14:solidFill>
                    <w14:schemeClr w14:val="tx1"/>
                  </w14:solidFill>
                </w14:textFill>
              </w:rPr>
            </w:pPr>
          </w:p>
        </w:tc>
        <w:tc>
          <w:tcPr>
            <w:tcW w:w="1602" w:type="dxa"/>
            <w:vMerge w:val="continue"/>
            <w:tcBorders>
              <w:left w:val="single" w:color="auto" w:sz="4" w:space="0"/>
              <w:right w:val="single" w:color="auto" w:sz="4" w:space="0"/>
            </w:tcBorders>
            <w:noWrap w:val="0"/>
          </w:tcPr>
          <w:p w14:paraId="29E76870">
            <w:pPr>
              <w:pStyle w:val="60"/>
              <w:widowControl w:val="0"/>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7250" w:type="dxa"/>
            <w:tcBorders>
              <w:top w:val="single" w:color="auto" w:sz="4" w:space="0"/>
              <w:left w:val="single" w:color="auto" w:sz="4" w:space="0"/>
              <w:bottom w:val="single" w:color="auto" w:sz="4" w:space="0"/>
              <w:right w:val="single" w:color="auto" w:sz="4" w:space="0"/>
            </w:tcBorders>
            <w:noWrap w:val="0"/>
            <w:vAlign w:val="top"/>
          </w:tcPr>
          <w:p w14:paraId="3B946819">
            <w:pPr>
              <w:widowControl/>
              <w:spacing w:line="360" w:lineRule="auto"/>
              <w:jc w:val="left"/>
              <w:rPr>
                <w:rFonts w:hint="eastAsia" w:cs="宋体"/>
                <w:b/>
                <w:bCs/>
                <w:color w:val="000000" w:themeColor="text1"/>
                <w:szCs w:val="21"/>
                <w:highlight w:val="none"/>
                <w:lang w:val="en-US" w:eastAsia="zh-CN"/>
                <w14:textFill>
                  <w14:solidFill>
                    <w14:schemeClr w14:val="tx1"/>
                  </w14:solidFill>
                </w14:textFill>
              </w:rPr>
            </w:pPr>
            <w:r>
              <w:rPr>
                <w:rFonts w:hint="eastAsia" w:cs="宋体"/>
                <w:b/>
                <w:bCs/>
                <w:color w:val="000000" w:themeColor="text1"/>
                <w:szCs w:val="21"/>
                <w:highlight w:val="none"/>
                <w:lang w:val="en-US" w:eastAsia="zh-CN"/>
                <w14:textFill>
                  <w14:solidFill>
                    <w14:schemeClr w14:val="tx1"/>
                  </w14:solidFill>
                </w14:textFill>
              </w:rPr>
              <w:t>4、</w:t>
            </w:r>
            <w:r>
              <w:rPr>
                <w:rFonts w:hint="eastAsia" w:ascii="宋体" w:hAnsi="宋体" w:eastAsia="宋体" w:cs="宋体"/>
                <w:b/>
                <w:bCs/>
                <w:color w:val="000000" w:themeColor="text1"/>
                <w:szCs w:val="21"/>
                <w:highlight w:val="none"/>
                <w:lang w:val="en-US" w:eastAsia="zh-CN"/>
                <w14:textFill>
                  <w14:solidFill>
                    <w14:schemeClr w14:val="tx1"/>
                  </w14:solidFill>
                </w14:textFill>
              </w:rPr>
              <w:t>拟投入</w:t>
            </w:r>
            <w:r>
              <w:rPr>
                <w:rFonts w:hint="eastAsia" w:ascii="宋体" w:hAnsi="宋体" w:eastAsia="宋体" w:cs="宋体"/>
                <w:b/>
                <w:bCs/>
                <w:color w:val="000000" w:themeColor="text1"/>
                <w:szCs w:val="21"/>
                <w:highlight w:val="none"/>
                <w14:textFill>
                  <w14:solidFill>
                    <w14:schemeClr w14:val="tx1"/>
                  </w14:solidFill>
                </w14:textFill>
              </w:rPr>
              <w:t>机具设备及劳动力配置合理，能满足施工强度要求</w:t>
            </w:r>
            <w:r>
              <w:rPr>
                <w:rFonts w:hint="eastAsia" w:cs="宋体"/>
                <w:b/>
                <w:bCs/>
                <w:color w:val="000000" w:themeColor="text1"/>
                <w:szCs w:val="21"/>
                <w:highlight w:val="none"/>
                <w:lang w:val="en-US" w:eastAsia="zh-CN"/>
                <w14:textFill>
                  <w14:solidFill>
                    <w14:schemeClr w14:val="tx1"/>
                  </w14:solidFill>
                </w14:textFill>
              </w:rPr>
              <w:t>（7分）</w:t>
            </w:r>
          </w:p>
          <w:p w14:paraId="2E5B4D20">
            <w:pPr>
              <w:widowControl/>
              <w:spacing w:line="360" w:lineRule="auto"/>
              <w:jc w:val="left"/>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优：合理性、可行性强：</w:t>
            </w:r>
            <w:r>
              <w:rPr>
                <w:rFonts w:hint="eastAsia" w:cs="宋体"/>
                <w:b w:val="0"/>
                <w:bCs w:val="0"/>
                <w:color w:val="000000" w:themeColor="text1"/>
                <w:szCs w:val="21"/>
                <w:highlight w:val="none"/>
                <w:lang w:val="en-US" w:eastAsia="zh-CN"/>
                <w14:textFill>
                  <w14:solidFill>
                    <w14:schemeClr w14:val="tx1"/>
                  </w14:solidFill>
                </w14:textFill>
              </w:rPr>
              <w:t>7</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分； </w:t>
            </w:r>
          </w:p>
          <w:p w14:paraId="0004054B">
            <w:pPr>
              <w:widowControl/>
              <w:spacing w:line="360" w:lineRule="auto"/>
              <w:jc w:val="left"/>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良：合理性、可行性较强：</w:t>
            </w:r>
            <w:r>
              <w:rPr>
                <w:rFonts w:hint="eastAsia" w:cs="宋体"/>
                <w:b w:val="0"/>
                <w:bCs w:val="0"/>
                <w:color w:val="000000" w:themeColor="text1"/>
                <w:szCs w:val="21"/>
                <w:highlight w:val="none"/>
                <w:lang w:val="en-US" w:eastAsia="zh-CN"/>
                <w14:textFill>
                  <w14:solidFill>
                    <w14:schemeClr w14:val="tx1"/>
                  </w14:solidFill>
                </w14:textFill>
              </w:rPr>
              <w:t>5</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分；</w:t>
            </w:r>
          </w:p>
          <w:p w14:paraId="3506D064">
            <w:pPr>
              <w:widowControl/>
              <w:spacing w:line="360" w:lineRule="auto"/>
              <w:jc w:val="left"/>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一般: 合理性、可行性一般：</w:t>
            </w:r>
            <w:r>
              <w:rPr>
                <w:rFonts w:hint="eastAsia" w:cs="宋体"/>
                <w:b w:val="0"/>
                <w:bCs w:val="0"/>
                <w:color w:val="000000" w:themeColor="text1"/>
                <w:szCs w:val="21"/>
                <w:highlight w:val="none"/>
                <w:lang w:val="en-US" w:eastAsia="zh-CN"/>
                <w14:textFill>
                  <w14:solidFill>
                    <w14:schemeClr w14:val="tx1"/>
                  </w14:solidFill>
                </w14:textFill>
              </w:rPr>
              <w:t>3</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分。</w:t>
            </w:r>
          </w:p>
          <w:p w14:paraId="05A04100">
            <w:pPr>
              <w:widowControl/>
              <w:spacing w:line="36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注：未见阐述此项不得分。</w:t>
            </w:r>
          </w:p>
        </w:tc>
      </w:tr>
      <w:tr w14:paraId="3FDFC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jc w:val="center"/>
        </w:trPr>
        <w:tc>
          <w:tcPr>
            <w:tcW w:w="681" w:type="dxa"/>
            <w:vMerge w:val="continue"/>
            <w:tcBorders>
              <w:left w:val="single" w:color="auto" w:sz="4" w:space="0"/>
              <w:right w:val="single" w:color="auto" w:sz="4" w:space="0"/>
            </w:tcBorders>
            <w:noWrap w:val="0"/>
            <w:vAlign w:val="center"/>
          </w:tcPr>
          <w:p w14:paraId="796728F6">
            <w:pP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left w:val="single" w:color="auto" w:sz="4" w:space="0"/>
              <w:right w:val="single" w:color="auto" w:sz="4" w:space="0"/>
            </w:tcBorders>
            <w:noWrap w:val="0"/>
            <w:vAlign w:val="center"/>
          </w:tcPr>
          <w:p w14:paraId="27F7CC5B">
            <w:pPr>
              <w:rPr>
                <w:rFonts w:hint="eastAsia" w:ascii="宋体" w:hAnsi="宋体" w:eastAsia="宋体" w:cs="宋体"/>
                <w:color w:val="000000" w:themeColor="text1"/>
                <w:szCs w:val="21"/>
                <w:highlight w:val="none"/>
                <w14:textFill>
                  <w14:solidFill>
                    <w14:schemeClr w14:val="tx1"/>
                  </w14:solidFill>
                </w14:textFill>
              </w:rPr>
            </w:pPr>
          </w:p>
        </w:tc>
        <w:tc>
          <w:tcPr>
            <w:tcW w:w="1602" w:type="dxa"/>
            <w:vMerge w:val="continue"/>
            <w:tcBorders>
              <w:left w:val="single" w:color="auto" w:sz="4" w:space="0"/>
              <w:right w:val="single" w:color="auto" w:sz="4" w:space="0"/>
            </w:tcBorders>
            <w:noWrap w:val="0"/>
          </w:tcPr>
          <w:p w14:paraId="648C8751">
            <w:pPr>
              <w:pStyle w:val="60"/>
              <w:widowControl w:val="0"/>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7250" w:type="dxa"/>
            <w:tcBorders>
              <w:top w:val="single" w:color="auto" w:sz="4" w:space="0"/>
              <w:left w:val="single" w:color="auto" w:sz="4" w:space="0"/>
              <w:bottom w:val="single" w:color="auto" w:sz="4" w:space="0"/>
              <w:right w:val="single" w:color="auto" w:sz="4" w:space="0"/>
            </w:tcBorders>
            <w:noWrap w:val="0"/>
            <w:vAlign w:val="top"/>
          </w:tcPr>
          <w:p w14:paraId="3F78EA61">
            <w:pPr>
              <w:widowControl/>
              <w:spacing w:line="360" w:lineRule="auto"/>
              <w:jc w:val="left"/>
              <w:rPr>
                <w:rFonts w:hint="eastAsia" w:ascii="宋体" w:hAnsi="宋体" w:eastAsia="宋体" w:cs="宋体"/>
                <w:b/>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val="en-US" w:eastAsia="zh-CN" w:bidi="ar"/>
                <w14:textFill>
                  <w14:solidFill>
                    <w14:schemeClr w14:val="tx1"/>
                  </w14:solidFill>
                </w14:textFill>
              </w:rPr>
              <w:t>5、</w:t>
            </w:r>
            <w:r>
              <w:rPr>
                <w:rFonts w:hint="eastAsia" w:ascii="宋体" w:hAnsi="宋体" w:eastAsia="宋体" w:cs="宋体"/>
                <w:b/>
                <w:color w:val="000000" w:themeColor="text1"/>
                <w:szCs w:val="21"/>
                <w:highlight w:val="none"/>
                <w:lang w:bidi="ar"/>
                <w14:textFill>
                  <w14:solidFill>
                    <w14:schemeClr w14:val="tx1"/>
                  </w14:solidFill>
                </w14:textFill>
              </w:rPr>
              <w:t>对关键</w:t>
            </w:r>
            <w:r>
              <w:rPr>
                <w:rFonts w:hint="eastAsia" w:ascii="宋体" w:hAnsi="宋体" w:eastAsia="宋体" w:cs="宋体"/>
                <w:b/>
                <w:color w:val="000000" w:themeColor="text1"/>
                <w:szCs w:val="21"/>
                <w:highlight w:val="none"/>
                <w:lang w:val="en-US" w:eastAsia="zh-CN" w:bidi="ar"/>
                <w14:textFill>
                  <w14:solidFill>
                    <w14:schemeClr w14:val="tx1"/>
                  </w14:solidFill>
                </w14:textFill>
              </w:rPr>
              <w:t>改造</w:t>
            </w:r>
            <w:r>
              <w:rPr>
                <w:rFonts w:hint="eastAsia" w:ascii="宋体" w:hAnsi="宋体" w:eastAsia="宋体" w:cs="宋体"/>
                <w:b/>
                <w:color w:val="000000" w:themeColor="text1"/>
                <w:szCs w:val="21"/>
                <w:highlight w:val="none"/>
                <w:lang w:bidi="ar"/>
                <w14:textFill>
                  <w14:solidFill>
                    <w14:schemeClr w14:val="tx1"/>
                  </w14:solidFill>
                </w14:textFill>
              </w:rPr>
              <w:t>技术、工艺及工程项目实施的重点、难点和解决方案</w:t>
            </w:r>
            <w:r>
              <w:rPr>
                <w:rFonts w:hint="eastAsia" w:cs="宋体"/>
                <w:b/>
                <w:bCs/>
                <w:color w:val="000000" w:themeColor="text1"/>
                <w:szCs w:val="21"/>
                <w:highlight w:val="none"/>
                <w:lang w:val="en-US" w:eastAsia="zh-CN"/>
                <w14:textFill>
                  <w14:solidFill>
                    <w14:schemeClr w14:val="tx1"/>
                  </w14:solidFill>
                </w14:textFill>
              </w:rPr>
              <w:t>（7分）</w:t>
            </w:r>
          </w:p>
          <w:p w14:paraId="04CA8842">
            <w:pPr>
              <w:spacing w:line="360" w:lineRule="auto"/>
              <w:jc w:val="left"/>
              <w:rPr>
                <w:rFonts w:hint="eastAsia" w:ascii="宋体" w:hAnsi="宋体" w:eastAsia="宋体" w:cs="宋体"/>
                <w:b w:val="0"/>
                <w:bCs/>
                <w:color w:val="000000" w:themeColor="text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szCs w:val="21"/>
                <w:highlight w:val="none"/>
                <w:lang w:val="en-US" w:eastAsia="zh-CN" w:bidi="ar"/>
                <w14:textFill>
                  <w14:solidFill>
                    <w14:schemeClr w14:val="tx1"/>
                  </w14:solidFill>
                </w14:textFill>
              </w:rPr>
              <w:t>优：对本项目施工工艺及技术措施先进，可操作性强：</w:t>
            </w:r>
            <w:r>
              <w:rPr>
                <w:rFonts w:hint="eastAsia" w:cs="宋体"/>
                <w:b w:val="0"/>
                <w:bCs/>
                <w:color w:val="000000" w:themeColor="text1"/>
                <w:szCs w:val="21"/>
                <w:highlight w:val="none"/>
                <w:lang w:val="en-US" w:eastAsia="zh-CN" w:bidi="ar"/>
                <w14:textFill>
                  <w14:solidFill>
                    <w14:schemeClr w14:val="tx1"/>
                  </w14:solidFill>
                </w14:textFill>
              </w:rPr>
              <w:t>7</w:t>
            </w:r>
            <w:r>
              <w:rPr>
                <w:rFonts w:hint="eastAsia" w:ascii="宋体" w:hAnsi="宋体" w:eastAsia="宋体" w:cs="宋体"/>
                <w:b w:val="0"/>
                <w:bCs/>
                <w:color w:val="000000" w:themeColor="text1"/>
                <w:szCs w:val="21"/>
                <w:highlight w:val="none"/>
                <w:lang w:val="en-US" w:eastAsia="zh-CN" w:bidi="ar"/>
                <w14:textFill>
                  <w14:solidFill>
                    <w14:schemeClr w14:val="tx1"/>
                  </w14:solidFill>
                </w14:textFill>
              </w:rPr>
              <w:t>分；</w:t>
            </w:r>
          </w:p>
          <w:p w14:paraId="3B594B01">
            <w:pPr>
              <w:spacing w:line="360" w:lineRule="auto"/>
              <w:jc w:val="left"/>
              <w:rPr>
                <w:rFonts w:hint="eastAsia" w:ascii="宋体" w:hAnsi="宋体" w:eastAsia="宋体" w:cs="宋体"/>
                <w:b w:val="0"/>
                <w:bCs/>
                <w:color w:val="000000" w:themeColor="text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szCs w:val="21"/>
                <w:highlight w:val="none"/>
                <w:lang w:val="en-US" w:eastAsia="zh-CN" w:bidi="ar"/>
                <w14:textFill>
                  <w14:solidFill>
                    <w14:schemeClr w14:val="tx1"/>
                  </w14:solidFill>
                </w14:textFill>
              </w:rPr>
              <w:t>良：对本项目对本项目施工工艺及技术措施基本先进，可操作性基本可行：</w:t>
            </w:r>
            <w:r>
              <w:rPr>
                <w:rFonts w:hint="eastAsia" w:cs="宋体"/>
                <w:b w:val="0"/>
                <w:bCs/>
                <w:color w:val="000000" w:themeColor="text1"/>
                <w:szCs w:val="21"/>
                <w:highlight w:val="none"/>
                <w:lang w:val="en-US" w:eastAsia="zh-CN" w:bidi="ar"/>
                <w14:textFill>
                  <w14:solidFill>
                    <w14:schemeClr w14:val="tx1"/>
                  </w14:solidFill>
                </w14:textFill>
              </w:rPr>
              <w:t>5</w:t>
            </w:r>
            <w:r>
              <w:rPr>
                <w:rFonts w:hint="eastAsia" w:ascii="宋体" w:hAnsi="宋体" w:eastAsia="宋体" w:cs="宋体"/>
                <w:b w:val="0"/>
                <w:bCs/>
                <w:color w:val="000000" w:themeColor="text1"/>
                <w:szCs w:val="21"/>
                <w:highlight w:val="none"/>
                <w:lang w:val="en-US" w:eastAsia="zh-CN" w:bidi="ar"/>
                <w14:textFill>
                  <w14:solidFill>
                    <w14:schemeClr w14:val="tx1"/>
                  </w14:solidFill>
                </w14:textFill>
              </w:rPr>
              <w:t>分；</w:t>
            </w:r>
          </w:p>
          <w:p w14:paraId="433F7A27">
            <w:pPr>
              <w:spacing w:line="360" w:lineRule="auto"/>
              <w:jc w:val="left"/>
              <w:rPr>
                <w:rFonts w:hint="eastAsia" w:ascii="宋体" w:hAnsi="宋体" w:eastAsia="宋体" w:cs="宋体"/>
                <w:b w:val="0"/>
                <w:bCs/>
                <w:color w:val="000000" w:themeColor="text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szCs w:val="21"/>
                <w:highlight w:val="none"/>
                <w:lang w:val="en-US" w:eastAsia="zh-CN" w:bidi="ar"/>
                <w14:textFill>
                  <w14:solidFill>
                    <w14:schemeClr w14:val="tx1"/>
                  </w14:solidFill>
                </w14:textFill>
              </w:rPr>
              <w:t>一般：对本项目理解一般，重难点描述一般，提出一般的解决方案：</w:t>
            </w:r>
            <w:r>
              <w:rPr>
                <w:rFonts w:hint="eastAsia" w:cs="宋体"/>
                <w:b w:val="0"/>
                <w:bCs/>
                <w:color w:val="000000" w:themeColor="text1"/>
                <w:szCs w:val="21"/>
                <w:highlight w:val="none"/>
                <w:lang w:val="en-US" w:eastAsia="zh-CN" w:bidi="ar"/>
                <w14:textFill>
                  <w14:solidFill>
                    <w14:schemeClr w14:val="tx1"/>
                  </w14:solidFill>
                </w14:textFill>
              </w:rPr>
              <w:t>3</w:t>
            </w:r>
            <w:r>
              <w:rPr>
                <w:rFonts w:hint="eastAsia" w:ascii="宋体" w:hAnsi="宋体" w:eastAsia="宋体" w:cs="宋体"/>
                <w:b w:val="0"/>
                <w:bCs/>
                <w:color w:val="000000" w:themeColor="text1"/>
                <w:szCs w:val="21"/>
                <w:highlight w:val="none"/>
                <w:lang w:val="en-US" w:eastAsia="zh-CN" w:bidi="ar"/>
                <w14:textFill>
                  <w14:solidFill>
                    <w14:schemeClr w14:val="tx1"/>
                  </w14:solidFill>
                </w14:textFill>
              </w:rPr>
              <w:t>分。</w:t>
            </w:r>
          </w:p>
          <w:p w14:paraId="75EF35D7">
            <w:pPr>
              <w:spacing w:line="36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lang w:val="en-US" w:eastAsia="zh-CN" w:bidi="ar"/>
                <w14:textFill>
                  <w14:solidFill>
                    <w14:schemeClr w14:val="tx1"/>
                  </w14:solidFill>
                </w14:textFill>
              </w:rPr>
              <w:t>注：未见阐述此项不得分。</w:t>
            </w:r>
            <w:r>
              <w:rPr>
                <w:rFonts w:hint="eastAsia" w:ascii="宋体" w:hAnsi="宋体" w:eastAsia="宋体" w:cs="宋体"/>
                <w:color w:val="000000" w:themeColor="text1"/>
                <w:szCs w:val="21"/>
                <w:highlight w:val="none"/>
                <w:lang w:bidi="ar"/>
                <w14:textFill>
                  <w14:solidFill>
                    <w14:schemeClr w14:val="tx1"/>
                  </w14:solidFill>
                </w14:textFill>
              </w:rPr>
              <w:t xml:space="preserve"> </w:t>
            </w:r>
          </w:p>
        </w:tc>
      </w:tr>
      <w:tr w14:paraId="7ECE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681" w:type="dxa"/>
            <w:vMerge w:val="continue"/>
            <w:tcBorders>
              <w:left w:val="single" w:color="auto" w:sz="4" w:space="0"/>
              <w:right w:val="single" w:color="auto" w:sz="4" w:space="0"/>
            </w:tcBorders>
            <w:noWrap w:val="0"/>
            <w:vAlign w:val="center"/>
          </w:tcPr>
          <w:p w14:paraId="2CD822C5">
            <w:pP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left w:val="single" w:color="auto" w:sz="4" w:space="0"/>
              <w:right w:val="single" w:color="auto" w:sz="4" w:space="0"/>
            </w:tcBorders>
            <w:noWrap w:val="0"/>
            <w:vAlign w:val="center"/>
          </w:tcPr>
          <w:p w14:paraId="60A02EDE">
            <w:pPr>
              <w:rPr>
                <w:rFonts w:hint="eastAsia" w:ascii="宋体" w:hAnsi="宋体" w:eastAsia="宋体" w:cs="宋体"/>
                <w:color w:val="000000" w:themeColor="text1"/>
                <w:szCs w:val="21"/>
                <w:highlight w:val="none"/>
                <w14:textFill>
                  <w14:solidFill>
                    <w14:schemeClr w14:val="tx1"/>
                  </w14:solidFill>
                </w14:textFill>
              </w:rPr>
            </w:pPr>
          </w:p>
        </w:tc>
        <w:tc>
          <w:tcPr>
            <w:tcW w:w="1602" w:type="dxa"/>
            <w:vMerge w:val="continue"/>
            <w:tcBorders>
              <w:left w:val="single" w:color="auto" w:sz="4" w:space="0"/>
              <w:right w:val="single" w:color="auto" w:sz="4" w:space="0"/>
            </w:tcBorders>
            <w:noWrap w:val="0"/>
          </w:tcPr>
          <w:p w14:paraId="4F04BA41">
            <w:pPr>
              <w:pStyle w:val="60"/>
              <w:widowControl w:val="0"/>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7250" w:type="dxa"/>
            <w:tcBorders>
              <w:top w:val="single" w:color="auto" w:sz="4" w:space="0"/>
              <w:left w:val="single" w:color="auto" w:sz="4" w:space="0"/>
              <w:bottom w:val="single" w:color="auto" w:sz="4" w:space="0"/>
              <w:right w:val="single" w:color="auto" w:sz="4" w:space="0"/>
            </w:tcBorders>
            <w:noWrap w:val="0"/>
            <w:vAlign w:val="top"/>
          </w:tcPr>
          <w:p w14:paraId="25CEE0F9">
            <w:pPr>
              <w:widowControl/>
              <w:spacing w:line="360" w:lineRule="auto"/>
              <w:jc w:val="left"/>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6、针对本项目的工程质量保证措施。内容包含但不限于施工质量控制措施、质量保证体系及分部分项工程施工过程质量控制等</w:t>
            </w:r>
            <w:r>
              <w:rPr>
                <w:rFonts w:hint="eastAsia" w:cs="宋体"/>
                <w:b/>
                <w:bCs/>
                <w:color w:val="000000" w:themeColor="text1"/>
                <w:szCs w:val="21"/>
                <w:highlight w:val="none"/>
                <w:lang w:val="en-US" w:eastAsia="zh-CN"/>
                <w14:textFill>
                  <w14:solidFill>
                    <w14:schemeClr w14:val="tx1"/>
                  </w14:solidFill>
                </w14:textFill>
              </w:rPr>
              <w:t>（7分）</w:t>
            </w:r>
          </w:p>
          <w:p w14:paraId="2B36BFF4">
            <w:pPr>
              <w:widowControl/>
              <w:spacing w:line="360" w:lineRule="auto"/>
              <w:jc w:val="left"/>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优：保证措施可操作性强科学合理，切实可行，质量控制点明确：</w:t>
            </w:r>
            <w:r>
              <w:rPr>
                <w:rFonts w:hint="eastAsia" w:cs="宋体"/>
                <w:b w:val="0"/>
                <w:bCs w:val="0"/>
                <w:color w:val="000000" w:themeColor="text1"/>
                <w:szCs w:val="21"/>
                <w:highlight w:val="none"/>
                <w:lang w:val="en-US" w:eastAsia="zh-CN"/>
                <w14:textFill>
                  <w14:solidFill>
                    <w14:schemeClr w14:val="tx1"/>
                  </w14:solidFill>
                </w14:textFill>
              </w:rPr>
              <w:t>7</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分；</w:t>
            </w:r>
          </w:p>
          <w:p w14:paraId="05C18CDD">
            <w:pPr>
              <w:widowControl/>
              <w:spacing w:line="360" w:lineRule="auto"/>
              <w:jc w:val="left"/>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良：保证措施可操作性基本可行：</w:t>
            </w:r>
            <w:r>
              <w:rPr>
                <w:rFonts w:hint="eastAsia" w:cs="宋体"/>
                <w:b w:val="0"/>
                <w:bCs w:val="0"/>
                <w:color w:val="000000" w:themeColor="text1"/>
                <w:szCs w:val="21"/>
                <w:highlight w:val="none"/>
                <w:lang w:val="en-US" w:eastAsia="zh-CN"/>
                <w14:textFill>
                  <w14:solidFill>
                    <w14:schemeClr w14:val="tx1"/>
                  </w14:solidFill>
                </w14:textFill>
              </w:rPr>
              <w:t>5</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分；</w:t>
            </w:r>
          </w:p>
          <w:p w14:paraId="49BEB4BC">
            <w:pPr>
              <w:widowControl/>
              <w:spacing w:line="360" w:lineRule="auto"/>
              <w:jc w:val="left"/>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一般：保证措施可操作性一般：</w:t>
            </w:r>
            <w:r>
              <w:rPr>
                <w:rFonts w:hint="eastAsia" w:cs="宋体"/>
                <w:b w:val="0"/>
                <w:bCs w:val="0"/>
                <w:color w:val="000000" w:themeColor="text1"/>
                <w:szCs w:val="21"/>
                <w:highlight w:val="none"/>
                <w:lang w:val="en-US" w:eastAsia="zh-CN"/>
                <w14:textFill>
                  <w14:solidFill>
                    <w14:schemeClr w14:val="tx1"/>
                  </w14:solidFill>
                </w14:textFill>
              </w:rPr>
              <w:t>3</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分。</w:t>
            </w:r>
          </w:p>
          <w:p w14:paraId="26090FEF">
            <w:pPr>
              <w:spacing w:line="360" w:lineRule="auto"/>
              <w:jc w:val="left"/>
              <w:rPr>
                <w:rFonts w:hint="eastAsia" w:ascii="宋体" w:hAnsi="宋体" w:eastAsia="宋体" w:cs="宋体"/>
                <w:b/>
                <w:color w:val="000000" w:themeColor="text1"/>
                <w:szCs w:val="21"/>
                <w:highlight w:val="none"/>
                <w:lang w:bidi="ar"/>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注：未见阐述此项不得分。</w:t>
            </w:r>
          </w:p>
        </w:tc>
      </w:tr>
      <w:tr w14:paraId="12470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681" w:type="dxa"/>
            <w:vMerge w:val="continue"/>
            <w:tcBorders>
              <w:left w:val="single" w:color="auto" w:sz="4" w:space="0"/>
              <w:right w:val="single" w:color="auto" w:sz="4" w:space="0"/>
            </w:tcBorders>
            <w:noWrap w:val="0"/>
            <w:vAlign w:val="center"/>
          </w:tcPr>
          <w:p w14:paraId="6598FA13">
            <w:pP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left w:val="single" w:color="auto" w:sz="4" w:space="0"/>
              <w:right w:val="single" w:color="auto" w:sz="4" w:space="0"/>
            </w:tcBorders>
            <w:noWrap w:val="0"/>
            <w:vAlign w:val="center"/>
          </w:tcPr>
          <w:p w14:paraId="62D94613">
            <w:pPr>
              <w:rPr>
                <w:rFonts w:hint="eastAsia" w:ascii="宋体" w:hAnsi="宋体" w:eastAsia="宋体" w:cs="宋体"/>
                <w:color w:val="000000" w:themeColor="text1"/>
                <w:szCs w:val="21"/>
                <w:highlight w:val="none"/>
                <w14:textFill>
                  <w14:solidFill>
                    <w14:schemeClr w14:val="tx1"/>
                  </w14:solidFill>
                </w14:textFill>
              </w:rPr>
            </w:pPr>
          </w:p>
        </w:tc>
        <w:tc>
          <w:tcPr>
            <w:tcW w:w="1602" w:type="dxa"/>
            <w:vMerge w:val="continue"/>
            <w:tcBorders>
              <w:left w:val="single" w:color="auto" w:sz="4" w:space="0"/>
              <w:right w:val="single" w:color="auto" w:sz="4" w:space="0"/>
            </w:tcBorders>
            <w:noWrap w:val="0"/>
          </w:tcPr>
          <w:p w14:paraId="37226CB4">
            <w:pPr>
              <w:pStyle w:val="60"/>
              <w:widowControl w:val="0"/>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7250" w:type="dxa"/>
            <w:tcBorders>
              <w:top w:val="single" w:color="auto" w:sz="4" w:space="0"/>
              <w:left w:val="single" w:color="auto" w:sz="4" w:space="0"/>
              <w:bottom w:val="single" w:color="auto" w:sz="4" w:space="0"/>
              <w:right w:val="single" w:color="auto" w:sz="4" w:space="0"/>
            </w:tcBorders>
            <w:noWrap w:val="0"/>
            <w:vAlign w:val="top"/>
          </w:tcPr>
          <w:p w14:paraId="1B2FA4B1">
            <w:pPr>
              <w:widowControl/>
              <w:tabs>
                <w:tab w:val="left" w:pos="6380"/>
              </w:tabs>
              <w:spacing w:line="360" w:lineRule="auto"/>
              <w:ind w:right="-143" w:rightChars="-65"/>
              <w:jc w:val="left"/>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7、对该工程安全文明施工、施工现场扬尘污染防治措施及环境保护方面，内容包含但不限于措施科学、合理、操作性强</w:t>
            </w:r>
            <w:r>
              <w:rPr>
                <w:rFonts w:hint="eastAsia" w:cs="宋体"/>
                <w:b/>
                <w:bCs/>
                <w:color w:val="000000" w:themeColor="text1"/>
                <w:szCs w:val="21"/>
                <w:highlight w:val="none"/>
                <w:lang w:val="en-US" w:eastAsia="zh-CN"/>
                <w14:textFill>
                  <w14:solidFill>
                    <w14:schemeClr w14:val="tx1"/>
                  </w14:solidFill>
                </w14:textFill>
              </w:rPr>
              <w:t>（7分）</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 </w:t>
            </w:r>
          </w:p>
          <w:p w14:paraId="770B22FF">
            <w:pPr>
              <w:widowControl/>
              <w:spacing w:line="360" w:lineRule="auto"/>
              <w:jc w:val="left"/>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优：文明施工及环境保护措施科学、合理、切实可行：</w:t>
            </w:r>
            <w:r>
              <w:rPr>
                <w:rFonts w:hint="eastAsia" w:cs="宋体"/>
                <w:b w:val="0"/>
                <w:bCs w:val="0"/>
                <w:color w:val="000000" w:themeColor="text1"/>
                <w:szCs w:val="21"/>
                <w:highlight w:val="none"/>
                <w:lang w:val="en-US" w:eastAsia="zh-CN"/>
                <w14:textFill>
                  <w14:solidFill>
                    <w14:schemeClr w14:val="tx1"/>
                  </w14:solidFill>
                </w14:textFill>
              </w:rPr>
              <w:t>7</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分；</w:t>
            </w:r>
          </w:p>
          <w:p w14:paraId="640565CD">
            <w:pPr>
              <w:widowControl/>
              <w:spacing w:line="360" w:lineRule="auto"/>
              <w:jc w:val="left"/>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良：文明施工及环境保护措施较合理、基本可行：</w:t>
            </w:r>
            <w:r>
              <w:rPr>
                <w:rFonts w:hint="eastAsia" w:cs="宋体"/>
                <w:b w:val="0"/>
                <w:bCs w:val="0"/>
                <w:color w:val="000000" w:themeColor="text1"/>
                <w:szCs w:val="21"/>
                <w:highlight w:val="none"/>
                <w:lang w:val="en-US" w:eastAsia="zh-CN"/>
                <w14:textFill>
                  <w14:solidFill>
                    <w14:schemeClr w14:val="tx1"/>
                  </w14:solidFill>
                </w14:textFill>
              </w:rPr>
              <w:t>5</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分；</w:t>
            </w:r>
          </w:p>
          <w:p w14:paraId="6C1DC723">
            <w:pPr>
              <w:widowControl/>
              <w:spacing w:line="360" w:lineRule="auto"/>
              <w:jc w:val="left"/>
              <w:rPr>
                <w:rFonts w:hint="default"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一般：文明施工及环境保护措施合理性一般：</w:t>
            </w:r>
            <w:r>
              <w:rPr>
                <w:rFonts w:hint="eastAsia" w:cs="宋体"/>
                <w:b w:val="0"/>
                <w:bCs w:val="0"/>
                <w:color w:val="000000" w:themeColor="text1"/>
                <w:szCs w:val="21"/>
                <w:highlight w:val="none"/>
                <w:lang w:val="en-US" w:eastAsia="zh-CN"/>
                <w14:textFill>
                  <w14:solidFill>
                    <w14:schemeClr w14:val="tx1"/>
                  </w14:solidFill>
                </w14:textFill>
              </w:rPr>
              <w:t>3</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分。</w:t>
            </w:r>
          </w:p>
          <w:p w14:paraId="7E247A15">
            <w:pPr>
              <w:widowControl/>
              <w:spacing w:line="360" w:lineRule="auto"/>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注：未见阐述此项不得分。</w:t>
            </w:r>
          </w:p>
        </w:tc>
      </w:tr>
      <w:tr w14:paraId="1B806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1" w:type="dxa"/>
            <w:vMerge w:val="restart"/>
            <w:tcBorders>
              <w:left w:val="single" w:color="auto" w:sz="4" w:space="0"/>
              <w:right w:val="single" w:color="auto" w:sz="4" w:space="0"/>
            </w:tcBorders>
            <w:noWrap w:val="0"/>
            <w:vAlign w:val="center"/>
          </w:tcPr>
          <w:p w14:paraId="70EFC96C">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c>
          <w:tcPr>
            <w:tcW w:w="907" w:type="dxa"/>
            <w:vMerge w:val="restart"/>
            <w:tcBorders>
              <w:left w:val="single" w:color="auto" w:sz="4" w:space="0"/>
              <w:right w:val="single" w:color="auto" w:sz="4" w:space="0"/>
            </w:tcBorders>
            <w:noWrap w:val="0"/>
            <w:vAlign w:val="center"/>
          </w:tcPr>
          <w:p w14:paraId="5DD79665">
            <w:pPr>
              <w:pStyle w:val="60"/>
              <w:widowControl w:val="0"/>
              <w:ind w:firstLine="0"/>
              <w:jc w:val="center"/>
              <w:rPr>
                <w:rFonts w:hint="eastAsia" w:ascii="宋体" w:hAnsi="宋体" w:eastAsia="宋体" w:cs="宋体"/>
                <w:color w:val="000000" w:themeColor="text1"/>
                <w:sz w:val="22"/>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2"/>
                <w:szCs w:val="21"/>
                <w:highlight w:val="none"/>
                <w:lang w:val="en-US" w:eastAsia="zh-CN" w:bidi="ar"/>
                <w14:textFill>
                  <w14:solidFill>
                    <w14:schemeClr w14:val="tx1"/>
                  </w14:solidFill>
                </w14:textFill>
              </w:rPr>
              <w:t>商务</w:t>
            </w:r>
          </w:p>
          <w:p w14:paraId="58EAC2BA">
            <w:pPr>
              <w:pStyle w:val="60"/>
              <w:widowControl w:val="0"/>
              <w:ind w:firstLine="0"/>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 w:val="22"/>
                <w:szCs w:val="21"/>
                <w:highlight w:val="none"/>
                <w:lang w:val="en-US" w:eastAsia="zh-CN" w:bidi="ar"/>
                <w14:textFill>
                  <w14:solidFill>
                    <w14:schemeClr w14:val="tx1"/>
                  </w14:solidFill>
                </w14:textFill>
              </w:rPr>
              <w:t>评审</w:t>
            </w:r>
          </w:p>
        </w:tc>
        <w:tc>
          <w:tcPr>
            <w:tcW w:w="1602" w:type="dxa"/>
            <w:tcBorders>
              <w:top w:val="single" w:color="auto" w:sz="4" w:space="0"/>
              <w:left w:val="single" w:color="auto" w:sz="4" w:space="0"/>
              <w:bottom w:val="single" w:color="auto" w:sz="4" w:space="0"/>
              <w:right w:val="single" w:color="auto" w:sz="4" w:space="0"/>
            </w:tcBorders>
            <w:noWrap w:val="0"/>
            <w:vAlign w:val="center"/>
          </w:tcPr>
          <w:p w14:paraId="01EB2CEF">
            <w:pPr>
              <w:pStyle w:val="60"/>
              <w:widowControl w:val="0"/>
              <w:ind w:firstLine="0"/>
              <w:jc w:val="center"/>
              <w:rPr>
                <w:rFonts w:hint="eastAsia" w:hAnsi="宋体" w:cs="宋体"/>
                <w:color w:val="000000" w:themeColor="text1"/>
                <w:sz w:val="22"/>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2"/>
                <w:szCs w:val="21"/>
                <w:highlight w:val="none"/>
                <w:lang w:val="en-US" w:eastAsia="en-US" w:bidi="ar"/>
                <w14:textFill>
                  <w14:solidFill>
                    <w14:schemeClr w14:val="tx1"/>
                  </w14:solidFill>
                </w14:textFill>
              </w:rPr>
              <w:t>人员</w:t>
            </w:r>
            <w:r>
              <w:rPr>
                <w:rFonts w:hint="eastAsia" w:hAnsi="宋体" w:cs="宋体"/>
                <w:color w:val="000000" w:themeColor="text1"/>
                <w:sz w:val="22"/>
                <w:szCs w:val="21"/>
                <w:highlight w:val="none"/>
                <w:lang w:val="en-US" w:eastAsia="zh-CN" w:bidi="ar"/>
                <w14:textFill>
                  <w14:solidFill>
                    <w14:schemeClr w14:val="tx1"/>
                  </w14:solidFill>
                </w14:textFill>
              </w:rPr>
              <w:t>配备</w:t>
            </w:r>
          </w:p>
          <w:p w14:paraId="0073E7A6">
            <w:pPr>
              <w:pStyle w:val="60"/>
              <w:widowControl w:val="0"/>
              <w:ind w:firstLine="0"/>
              <w:jc w:val="center"/>
              <w:rPr>
                <w:rFonts w:hint="default" w:ascii="宋体" w:hAnsi="宋体" w:eastAsia="宋体" w:cs="宋体"/>
                <w:color w:val="000000" w:themeColor="text1"/>
                <w:sz w:val="21"/>
                <w:szCs w:val="21"/>
                <w:highlight w:val="none"/>
                <w:lang w:val="en-US" w:bidi="ar"/>
                <w14:textFill>
                  <w14:solidFill>
                    <w14:schemeClr w14:val="tx1"/>
                  </w14:solidFill>
                </w14:textFill>
              </w:rPr>
            </w:pPr>
            <w:r>
              <w:rPr>
                <w:rFonts w:hint="eastAsia" w:hAnsi="宋体" w:cs="宋体"/>
                <w:color w:val="000000" w:themeColor="text1"/>
                <w:sz w:val="22"/>
                <w:szCs w:val="21"/>
                <w:highlight w:val="none"/>
                <w:lang w:val="en-US" w:eastAsia="zh-CN" w:bidi="ar"/>
                <w14:textFill>
                  <w14:solidFill>
                    <w14:schemeClr w14:val="tx1"/>
                  </w14:solidFill>
                </w14:textFill>
              </w:rPr>
              <w:t>（13分）</w:t>
            </w:r>
          </w:p>
        </w:tc>
        <w:tc>
          <w:tcPr>
            <w:tcW w:w="7250" w:type="dxa"/>
            <w:tcBorders>
              <w:top w:val="single" w:color="auto" w:sz="4" w:space="0"/>
              <w:left w:val="single" w:color="auto" w:sz="4" w:space="0"/>
              <w:bottom w:val="single" w:color="auto" w:sz="4" w:space="0"/>
              <w:right w:val="single" w:color="auto" w:sz="4" w:space="0"/>
            </w:tcBorders>
            <w:noWrap w:val="0"/>
            <w:vAlign w:val="top"/>
          </w:tcPr>
          <w:p w14:paraId="324966AC">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拟派项目</w:t>
            </w:r>
            <w:r>
              <w:rPr>
                <w:rFonts w:hint="eastAsia" w:cs="宋体"/>
                <w:color w:val="000000" w:themeColor="text1"/>
                <w:highlight w:val="none"/>
                <w:lang w:eastAsia="zh-CN"/>
                <w14:textFill>
                  <w14:solidFill>
                    <w14:schemeClr w14:val="tx1"/>
                  </w14:solidFill>
                </w14:textFill>
              </w:rPr>
              <w:t>负责人</w:t>
            </w:r>
            <w:r>
              <w:rPr>
                <w:rFonts w:hint="eastAsia" w:cs="宋体"/>
                <w:color w:val="000000" w:themeColor="text1"/>
                <w:highlight w:val="none"/>
                <w:lang w:val="en-US" w:eastAsia="zh-CN"/>
                <w14:textFill>
                  <w14:solidFill>
                    <w14:schemeClr w14:val="tx1"/>
                  </w14:solidFill>
                </w14:textFill>
              </w:rPr>
              <w:t>具有</w:t>
            </w:r>
            <w:r>
              <w:rPr>
                <w:rFonts w:hint="eastAsia" w:ascii="宋体" w:hAnsi="宋体" w:eastAsia="宋体" w:cs="宋体"/>
                <w:color w:val="000000" w:themeColor="text1"/>
                <w:highlight w:val="none"/>
                <w14:textFill>
                  <w14:solidFill>
                    <w14:schemeClr w14:val="tx1"/>
                  </w14:solidFill>
                </w14:textFill>
              </w:rPr>
              <w:t>中级</w:t>
            </w:r>
            <w:r>
              <w:rPr>
                <w:rFonts w:hint="eastAsia" w:cs="宋体"/>
                <w:color w:val="000000" w:themeColor="text1"/>
                <w:highlight w:val="none"/>
                <w:lang w:val="en-US" w:eastAsia="zh-CN"/>
                <w14:textFill>
                  <w14:solidFill>
                    <w14:schemeClr w14:val="tx1"/>
                  </w14:solidFill>
                </w14:textFill>
              </w:rPr>
              <w:t>及以上职称</w:t>
            </w:r>
            <w:r>
              <w:rPr>
                <w:rFonts w:hint="eastAsia" w:ascii="宋体" w:hAnsi="宋体" w:eastAsia="宋体" w:cs="宋体"/>
                <w:color w:val="000000" w:themeColor="text1"/>
                <w:highlight w:val="none"/>
                <w14:textFill>
                  <w14:solidFill>
                    <w14:schemeClr w14:val="tx1"/>
                  </w14:solidFill>
                </w14:textFill>
              </w:rPr>
              <w:t>的得</w:t>
            </w:r>
            <w:r>
              <w:rPr>
                <w:rFonts w:hint="eastAsia"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分，</w:t>
            </w:r>
            <w:r>
              <w:rPr>
                <w:rFonts w:hint="eastAsia" w:cs="宋体"/>
                <w:color w:val="000000" w:themeColor="text1"/>
                <w:highlight w:val="none"/>
                <w:lang w:val="en-US" w:eastAsia="zh-CN"/>
                <w14:textFill>
                  <w14:solidFill>
                    <w14:schemeClr w14:val="tx1"/>
                  </w14:solidFill>
                </w14:textFill>
              </w:rPr>
              <w:t>本项</w:t>
            </w:r>
            <w:r>
              <w:rPr>
                <w:rFonts w:hint="eastAsia" w:ascii="宋体" w:hAnsi="宋体" w:eastAsia="宋体" w:cs="宋体"/>
                <w:color w:val="000000" w:themeColor="text1"/>
                <w:highlight w:val="none"/>
                <w14:textFill>
                  <w14:solidFill>
                    <w14:schemeClr w14:val="tx1"/>
                  </w14:solidFill>
                </w14:textFill>
              </w:rPr>
              <w:t>最高得</w:t>
            </w:r>
            <w:r>
              <w:rPr>
                <w:rFonts w:hint="eastAsia"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分；</w:t>
            </w:r>
          </w:p>
          <w:p w14:paraId="483CF31F">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拟派项目技术负责人1名，具有中级工程师职称证书的得</w:t>
            </w:r>
            <w:r>
              <w:rPr>
                <w:rFonts w:hint="eastAsia"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分，</w:t>
            </w:r>
            <w:r>
              <w:rPr>
                <w:rFonts w:hint="eastAsia" w:ascii="宋体" w:hAnsi="宋体" w:eastAsia="宋体" w:cs="宋体"/>
                <w:color w:val="000000" w:themeColor="text1"/>
                <w:highlight w:val="none"/>
                <w:lang w:val="en-US" w:eastAsia="zh-CN"/>
                <w14:textFill>
                  <w14:solidFill>
                    <w14:schemeClr w14:val="tx1"/>
                  </w14:solidFill>
                </w14:textFill>
              </w:rPr>
              <w:t>高级工程师</w:t>
            </w:r>
            <w:r>
              <w:rPr>
                <w:rFonts w:hint="eastAsia" w:ascii="宋体" w:hAnsi="宋体" w:eastAsia="宋体" w:cs="宋体"/>
                <w:color w:val="000000" w:themeColor="text1"/>
                <w:highlight w:val="none"/>
                <w14:textFill>
                  <w14:solidFill>
                    <w14:schemeClr w14:val="tx1"/>
                  </w14:solidFill>
                </w14:textFill>
              </w:rPr>
              <w:t>职称证书</w:t>
            </w:r>
            <w:r>
              <w:rPr>
                <w:rFonts w:hint="eastAsia" w:ascii="宋体" w:hAnsi="宋体" w:eastAsia="宋体" w:cs="宋体"/>
                <w:color w:val="000000" w:themeColor="text1"/>
                <w:highlight w:val="none"/>
                <w:lang w:val="en-US" w:eastAsia="zh-CN"/>
                <w14:textFill>
                  <w14:solidFill>
                    <w14:schemeClr w14:val="tx1"/>
                  </w14:solidFill>
                </w14:textFill>
              </w:rPr>
              <w:t>的得</w:t>
            </w:r>
            <w:r>
              <w:rPr>
                <w:rFonts w:hint="eastAsia"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分，本项</w:t>
            </w:r>
            <w:r>
              <w:rPr>
                <w:rFonts w:hint="eastAsia" w:ascii="宋体" w:hAnsi="宋体" w:eastAsia="宋体" w:cs="宋体"/>
                <w:color w:val="000000" w:themeColor="text1"/>
                <w:highlight w:val="none"/>
                <w14:textFill>
                  <w14:solidFill>
                    <w14:schemeClr w14:val="tx1"/>
                  </w14:solidFill>
                </w14:textFill>
              </w:rPr>
              <w:t>最高得</w:t>
            </w:r>
            <w:r>
              <w:rPr>
                <w:rFonts w:hint="eastAsia"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分；</w:t>
            </w:r>
          </w:p>
          <w:p w14:paraId="079E3E69">
            <w:pPr>
              <w:widowControl/>
              <w:spacing w:line="360" w:lineRule="auto"/>
              <w:jc w:val="lef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项目组成员（除项目负责人及技术负责人外）中具有建设行政主管部门核发的安全员、质量员、施工员资格证书的，每提供一人得2分，</w:t>
            </w:r>
            <w:r>
              <w:rPr>
                <w:rFonts w:hint="eastAsia" w:cs="宋体"/>
                <w:color w:val="000000" w:themeColor="text1"/>
                <w:highlight w:val="none"/>
                <w:lang w:val="en-US" w:eastAsia="zh-CN"/>
                <w14:textFill>
                  <w14:solidFill>
                    <w14:schemeClr w14:val="tx1"/>
                  </w14:solidFill>
                </w14:textFill>
              </w:rPr>
              <w:t>以上人员具有中级及以上职称的每提供1人得1分，</w:t>
            </w:r>
            <w:r>
              <w:rPr>
                <w:rFonts w:hint="eastAsia" w:ascii="宋体" w:hAnsi="宋体" w:eastAsia="宋体" w:cs="宋体"/>
                <w:color w:val="000000" w:themeColor="text1"/>
                <w:highlight w:val="none"/>
                <w14:textFill>
                  <w14:solidFill>
                    <w14:schemeClr w14:val="tx1"/>
                  </w14:solidFill>
                </w14:textFill>
              </w:rPr>
              <w:t>最高得</w:t>
            </w:r>
            <w:r>
              <w:rPr>
                <w:rFonts w:hint="eastAsia"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14:textFill>
                  <w14:solidFill>
                    <w14:schemeClr w14:val="tx1"/>
                  </w14:solidFill>
                </w14:textFill>
              </w:rPr>
              <w:t>分。</w:t>
            </w:r>
          </w:p>
          <w:p w14:paraId="3F96C75D">
            <w:pPr>
              <w:widowControl/>
              <w:spacing w:line="360" w:lineRule="auto"/>
              <w:ind w:firstLine="442"/>
              <w:jc w:val="lef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注：1</w:t>
            </w:r>
            <w:r>
              <w:rPr>
                <w:rFonts w:hint="eastAsia" w:cs="宋体"/>
                <w:b/>
                <w:bCs/>
                <w:color w:val="000000" w:themeColor="text1"/>
                <w:highlight w:val="none"/>
                <w:lang w:val="en-US"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提供职称证书原件扫描件上传至响应文件中，未按上述要求提供证明材料，此项不得分。</w:t>
            </w:r>
          </w:p>
          <w:p w14:paraId="244FD3DE">
            <w:pPr>
              <w:widowControl/>
              <w:spacing w:line="360" w:lineRule="auto"/>
              <w:ind w:firstLine="442"/>
              <w:jc w:val="left"/>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2、</w:t>
            </w:r>
            <w:r>
              <w:rPr>
                <w:rFonts w:hint="eastAsia" w:ascii="宋体" w:hAnsi="宋体" w:eastAsia="宋体" w:cs="宋体"/>
                <w:b/>
                <w:bCs/>
                <w:color w:val="000000" w:themeColor="text1"/>
                <w:highlight w:val="none"/>
                <w14:textFill>
                  <w14:solidFill>
                    <w14:schemeClr w14:val="tx1"/>
                  </w14:solidFill>
                </w14:textFill>
              </w:rPr>
              <w:t>同一人员不重复计分。</w:t>
            </w:r>
          </w:p>
          <w:p w14:paraId="0A4F8049">
            <w:pPr>
              <w:spacing w:line="360" w:lineRule="auto"/>
              <w:ind w:firstLine="440"/>
              <w:jc w:val="left"/>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3</w:t>
            </w:r>
            <w:r>
              <w:rPr>
                <w:rFonts w:hint="eastAsia" w:ascii="宋体" w:hAnsi="宋体" w:eastAsia="宋体" w:cs="宋体"/>
                <w:b/>
                <w:bCs/>
                <w:color w:val="000000" w:themeColor="text1"/>
                <w:highlight w:val="none"/>
                <w14:textFill>
                  <w14:solidFill>
                    <w14:schemeClr w14:val="tx1"/>
                  </w14:solidFill>
                </w14:textFill>
              </w:rPr>
              <w:t>、</w:t>
            </w:r>
            <w:r>
              <w:rPr>
                <w:rFonts w:hint="eastAsia" w:ascii="宋体" w:hAnsi="宋体" w:eastAsia="宋体" w:cs="宋体"/>
                <w:b/>
                <w:bCs/>
                <w:color w:val="000000" w:themeColor="text1"/>
                <w:sz w:val="22"/>
                <w:highlight w:val="none"/>
                <w:lang w:val="en-US" w:eastAsia="zh-CN"/>
                <w14:textFill>
                  <w14:solidFill>
                    <w14:schemeClr w14:val="tx1"/>
                  </w14:solidFill>
                </w14:textFill>
              </w:rPr>
              <w:t>提供以上人员劳动合同和</w:t>
            </w:r>
            <w:r>
              <w:rPr>
                <w:rFonts w:hint="eastAsia" w:cs="宋体"/>
                <w:b/>
                <w:bCs/>
                <w:color w:val="000000" w:themeColor="text1"/>
                <w:sz w:val="22"/>
                <w:highlight w:val="none"/>
                <w:lang w:val="en-US" w:eastAsia="zh-CN"/>
                <w14:textFill>
                  <w14:solidFill>
                    <w14:schemeClr w14:val="tx1"/>
                  </w14:solidFill>
                </w14:textFill>
              </w:rPr>
              <w:t>2025年05月至今任意一个月</w:t>
            </w:r>
            <w:r>
              <w:rPr>
                <w:rFonts w:hint="eastAsia" w:ascii="宋体" w:hAnsi="宋体" w:eastAsia="宋体" w:cs="宋体"/>
                <w:b/>
                <w:bCs/>
                <w:color w:val="000000" w:themeColor="text1"/>
                <w:sz w:val="22"/>
                <w:highlight w:val="none"/>
                <w:lang w:val="en-US" w:eastAsia="zh-CN"/>
                <w14:textFill>
                  <w14:solidFill>
                    <w14:schemeClr w14:val="tx1"/>
                  </w14:solidFill>
                </w14:textFill>
              </w:rPr>
              <w:t>由磋商供应商为其缴纳的社保证明（加盖社保中心章或社保中心参保缴费证明电子专用章），</w:t>
            </w:r>
            <w:r>
              <w:rPr>
                <w:rFonts w:hint="eastAsia" w:ascii="宋体" w:hAnsi="宋体" w:eastAsia="宋体" w:cs="宋体"/>
                <w:b/>
                <w:bCs/>
                <w:color w:val="000000" w:themeColor="text1"/>
                <w:highlight w:val="none"/>
                <w14:textFill>
                  <w14:solidFill>
                    <w14:schemeClr w14:val="tx1"/>
                  </w14:solidFill>
                </w14:textFill>
              </w:rPr>
              <w:t>否则不得分。</w:t>
            </w:r>
          </w:p>
        </w:tc>
      </w:tr>
      <w:tr w14:paraId="43236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9" w:hRule="atLeast"/>
          <w:jc w:val="center"/>
        </w:trPr>
        <w:tc>
          <w:tcPr>
            <w:tcW w:w="681" w:type="dxa"/>
            <w:vMerge w:val="continue"/>
            <w:tcBorders>
              <w:left w:val="single" w:color="auto" w:sz="4" w:space="0"/>
              <w:right w:val="single" w:color="auto" w:sz="4" w:space="0"/>
            </w:tcBorders>
            <w:noWrap w:val="0"/>
            <w:vAlign w:val="center"/>
          </w:tcPr>
          <w:p w14:paraId="2D4D5D94">
            <w:pP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left w:val="single" w:color="auto" w:sz="4" w:space="0"/>
              <w:right w:val="single" w:color="auto" w:sz="4" w:space="0"/>
            </w:tcBorders>
            <w:noWrap w:val="0"/>
            <w:vAlign w:val="center"/>
          </w:tcPr>
          <w:p w14:paraId="19D43BD4">
            <w:pPr>
              <w:widowControl/>
              <w:jc w:val="left"/>
              <w:rPr>
                <w:rFonts w:hint="eastAsia" w:ascii="宋体" w:hAnsi="宋体" w:eastAsia="宋体" w:cs="宋体"/>
                <w:color w:val="000000" w:themeColor="text1"/>
                <w:szCs w:val="21"/>
                <w:highlight w:val="none"/>
                <w:lang w:bidi="ar"/>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477D2F5B">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企业业绩</w:t>
            </w:r>
          </w:p>
          <w:p w14:paraId="5279C010">
            <w:pPr>
              <w:pStyle w:val="60"/>
              <w:widowControl w:val="0"/>
              <w:ind w:firstLine="0"/>
              <w:jc w:val="center"/>
              <w:rPr>
                <w:rFonts w:hint="eastAsia" w:ascii="宋体" w:hAnsi="宋体" w:eastAsia="宋体" w:cs="宋体"/>
                <w:color w:val="000000" w:themeColor="text1"/>
                <w:sz w:val="22"/>
                <w:szCs w:val="21"/>
                <w:highlight w:val="none"/>
                <w:lang w:val="en-US" w:eastAsia="en-US" w:bidi="ar"/>
                <w14:textFill>
                  <w14:solidFill>
                    <w14:schemeClr w14:val="tx1"/>
                  </w14:solidFill>
                </w14:textFill>
              </w:rPr>
            </w:pPr>
            <w:r>
              <w:rPr>
                <w:rFonts w:hint="eastAsia" w:ascii="宋体" w:hAnsi="宋体" w:eastAsia="宋体" w:cs="宋体"/>
                <w:color w:val="000000" w:themeColor="text1"/>
                <w:sz w:val="22"/>
                <w:szCs w:val="21"/>
                <w:highlight w:val="none"/>
                <w:lang w:val="en-US" w:eastAsia="en-US" w:bidi="ar"/>
                <w14:textFill>
                  <w14:solidFill>
                    <w14:schemeClr w14:val="tx1"/>
                  </w14:solidFill>
                </w14:textFill>
              </w:rPr>
              <w:t>（</w:t>
            </w:r>
            <w:r>
              <w:rPr>
                <w:rFonts w:hint="eastAsia" w:ascii="宋体" w:hAnsi="宋体" w:eastAsia="宋体" w:cs="宋体"/>
                <w:color w:val="000000" w:themeColor="text1"/>
                <w:sz w:val="22"/>
                <w:szCs w:val="21"/>
                <w:highlight w:val="none"/>
                <w:lang w:val="en-US" w:eastAsia="zh-CN" w:bidi="ar"/>
                <w14:textFill>
                  <w14:solidFill>
                    <w14:schemeClr w14:val="tx1"/>
                  </w14:solidFill>
                </w14:textFill>
              </w:rPr>
              <w:t>4</w:t>
            </w:r>
            <w:r>
              <w:rPr>
                <w:rFonts w:hint="eastAsia" w:ascii="宋体" w:hAnsi="宋体" w:eastAsia="宋体" w:cs="宋体"/>
                <w:color w:val="000000" w:themeColor="text1"/>
                <w:sz w:val="22"/>
                <w:szCs w:val="21"/>
                <w:highlight w:val="none"/>
                <w:lang w:val="en-US" w:eastAsia="en-US" w:bidi="ar"/>
                <w14:textFill>
                  <w14:solidFill>
                    <w14:schemeClr w14:val="tx1"/>
                  </w14:solidFill>
                </w14:textFill>
              </w:rPr>
              <w:t>分）</w:t>
            </w:r>
          </w:p>
        </w:tc>
        <w:tc>
          <w:tcPr>
            <w:tcW w:w="7250" w:type="dxa"/>
            <w:tcBorders>
              <w:top w:val="single" w:color="auto" w:sz="4" w:space="0"/>
              <w:left w:val="single" w:color="auto" w:sz="4" w:space="0"/>
              <w:bottom w:val="single" w:color="auto" w:sz="4" w:space="0"/>
              <w:right w:val="single" w:color="auto" w:sz="4" w:space="0"/>
            </w:tcBorders>
            <w:noWrap w:val="0"/>
            <w:vAlign w:val="top"/>
          </w:tcPr>
          <w:p w14:paraId="344A5FBE">
            <w:pPr>
              <w:spacing w:line="360" w:lineRule="auto"/>
              <w:ind w:firstLine="440"/>
              <w:jc w:val="left"/>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供应商自</w:t>
            </w:r>
            <w:r>
              <w:rPr>
                <w:rFonts w:hint="eastAsia" w:ascii="宋体" w:hAnsi="宋体" w:eastAsia="宋体" w:cs="宋体"/>
                <w:color w:val="000000" w:themeColor="text1"/>
                <w:szCs w:val="21"/>
                <w:highlight w:val="none"/>
                <w:lang w:val="en-US" w:eastAsia="zh-CN" w:bidi="ar"/>
                <w14:textFill>
                  <w14:solidFill>
                    <w14:schemeClr w14:val="tx1"/>
                  </w14:solidFill>
                </w14:textFill>
              </w:rPr>
              <w:t>202</w:t>
            </w:r>
            <w:r>
              <w:rPr>
                <w:rFonts w:hint="eastAsia" w:cs="宋体"/>
                <w:color w:val="000000" w:themeColor="text1"/>
                <w:szCs w:val="21"/>
                <w:highlight w:val="none"/>
                <w:lang w:val="en-US" w:eastAsia="zh-CN" w:bidi="ar"/>
                <w14:textFill>
                  <w14:solidFill>
                    <w14:schemeClr w14:val="tx1"/>
                  </w14:solidFill>
                </w14:textFill>
              </w:rPr>
              <w:t>2</w:t>
            </w:r>
            <w:r>
              <w:rPr>
                <w:rFonts w:hint="eastAsia" w:ascii="宋体" w:hAnsi="宋体" w:eastAsia="宋体" w:cs="宋体"/>
                <w:color w:val="000000" w:themeColor="text1"/>
                <w:szCs w:val="21"/>
                <w:highlight w:val="none"/>
                <w:lang w:bidi="ar"/>
                <w14:textFill>
                  <w14:solidFill>
                    <w14:schemeClr w14:val="tx1"/>
                  </w14:solidFill>
                </w14:textFill>
              </w:rPr>
              <w:t>年</w:t>
            </w:r>
            <w:r>
              <w:rPr>
                <w:rFonts w:hint="eastAsia" w:cs="宋体"/>
                <w:color w:val="000000" w:themeColor="text1"/>
                <w:szCs w:val="21"/>
                <w:highlight w:val="none"/>
                <w:lang w:val="en-US" w:eastAsia="zh-CN" w:bidi="ar"/>
                <w14:textFill>
                  <w14:solidFill>
                    <w14:schemeClr w14:val="tx1"/>
                  </w14:solidFill>
                </w14:textFill>
              </w:rPr>
              <w:t>0</w:t>
            </w:r>
            <w:r>
              <w:rPr>
                <w:rFonts w:hint="eastAsia" w:ascii="宋体" w:hAnsi="宋体" w:eastAsia="宋体" w:cs="宋体"/>
                <w:color w:val="000000" w:themeColor="text1"/>
                <w:szCs w:val="21"/>
                <w:highlight w:val="none"/>
                <w:lang w:bidi="ar"/>
                <w14:textFill>
                  <w14:solidFill>
                    <w14:schemeClr w14:val="tx1"/>
                  </w14:solidFill>
                </w14:textFill>
              </w:rPr>
              <w:t>1月</w:t>
            </w:r>
            <w:r>
              <w:rPr>
                <w:rFonts w:hint="eastAsia" w:cs="宋体"/>
                <w:color w:val="000000" w:themeColor="text1"/>
                <w:szCs w:val="21"/>
                <w:highlight w:val="none"/>
                <w:lang w:val="en-US" w:eastAsia="zh-CN" w:bidi="ar"/>
                <w14:textFill>
                  <w14:solidFill>
                    <w14:schemeClr w14:val="tx1"/>
                  </w14:solidFill>
                </w14:textFill>
              </w:rPr>
              <w:t>0</w:t>
            </w:r>
            <w:r>
              <w:rPr>
                <w:rFonts w:hint="eastAsia" w:ascii="宋体" w:hAnsi="宋体" w:eastAsia="宋体" w:cs="宋体"/>
                <w:color w:val="000000" w:themeColor="text1"/>
                <w:szCs w:val="21"/>
                <w:highlight w:val="none"/>
                <w:lang w:bidi="ar"/>
                <w14:textFill>
                  <w14:solidFill>
                    <w14:schemeClr w14:val="tx1"/>
                  </w14:solidFill>
                </w14:textFill>
              </w:rPr>
              <w:t>1日至今承</w:t>
            </w:r>
            <w:r>
              <w:rPr>
                <w:rFonts w:hint="eastAsia" w:cs="宋体"/>
                <w:color w:val="000000" w:themeColor="text1"/>
                <w:szCs w:val="21"/>
                <w:highlight w:val="none"/>
                <w:lang w:val="en-US" w:eastAsia="zh-CN" w:bidi="ar"/>
                <w14:textFill>
                  <w14:solidFill>
                    <w14:schemeClr w14:val="tx1"/>
                  </w14:solidFill>
                </w14:textFill>
              </w:rPr>
              <w:t>担</w:t>
            </w:r>
            <w:r>
              <w:rPr>
                <w:rFonts w:hint="eastAsia" w:ascii="宋体" w:hAnsi="宋体" w:eastAsia="宋体" w:cs="宋体"/>
                <w:color w:val="000000" w:themeColor="text1"/>
                <w:szCs w:val="21"/>
                <w:highlight w:val="none"/>
                <w:lang w:bidi="ar"/>
                <w14:textFill>
                  <w14:solidFill>
                    <w14:schemeClr w14:val="tx1"/>
                  </w14:solidFill>
                </w14:textFill>
              </w:rPr>
              <w:t>过类似</w:t>
            </w:r>
            <w:r>
              <w:rPr>
                <w:rFonts w:hint="eastAsia" w:cs="宋体"/>
                <w:color w:val="000000" w:themeColor="text1"/>
                <w:szCs w:val="21"/>
                <w:highlight w:val="none"/>
                <w:lang w:eastAsia="zh-CN" w:bidi="ar"/>
                <w14:textFill>
                  <w14:solidFill>
                    <w14:schemeClr w14:val="tx1"/>
                  </w14:solidFill>
                </w14:textFill>
              </w:rPr>
              <w:t>农村公路建设</w:t>
            </w:r>
            <w:r>
              <w:rPr>
                <w:rFonts w:hint="eastAsia" w:ascii="宋体" w:hAnsi="宋体" w:eastAsia="宋体" w:cs="宋体"/>
                <w:color w:val="000000" w:themeColor="text1"/>
                <w:szCs w:val="21"/>
                <w:highlight w:val="none"/>
                <w:lang w:bidi="ar"/>
                <w14:textFill>
                  <w14:solidFill>
                    <w14:schemeClr w14:val="tx1"/>
                  </w14:solidFill>
                </w14:textFill>
              </w:rPr>
              <w:t>工程业绩，每有一个得</w:t>
            </w:r>
            <w:r>
              <w:rPr>
                <w:rFonts w:hint="eastAsia" w:cs="宋体"/>
                <w:color w:val="000000" w:themeColor="text1"/>
                <w:szCs w:val="21"/>
                <w:highlight w:val="none"/>
                <w:lang w:val="en-US" w:eastAsia="zh-CN" w:bidi="ar"/>
                <w14:textFill>
                  <w14:solidFill>
                    <w14:schemeClr w14:val="tx1"/>
                  </w14:solidFill>
                </w14:textFill>
              </w:rPr>
              <w:t>2</w:t>
            </w:r>
            <w:r>
              <w:rPr>
                <w:rFonts w:hint="eastAsia" w:ascii="宋体" w:hAnsi="宋体" w:eastAsia="宋体" w:cs="宋体"/>
                <w:color w:val="000000" w:themeColor="text1"/>
                <w:szCs w:val="21"/>
                <w:highlight w:val="none"/>
                <w:lang w:bidi="ar"/>
                <w14:textFill>
                  <w14:solidFill>
                    <w14:schemeClr w14:val="tx1"/>
                  </w14:solidFill>
                </w14:textFill>
              </w:rPr>
              <w:t>分，最高得</w:t>
            </w:r>
            <w:r>
              <w:rPr>
                <w:rFonts w:hint="eastAsia" w:cs="宋体"/>
                <w:color w:val="000000" w:themeColor="text1"/>
                <w:szCs w:val="21"/>
                <w:highlight w:val="none"/>
                <w:lang w:val="en-US" w:eastAsia="zh-CN" w:bidi="ar"/>
                <w14:textFill>
                  <w14:solidFill>
                    <w14:schemeClr w14:val="tx1"/>
                  </w14:solidFill>
                </w14:textFill>
              </w:rPr>
              <w:t>4</w:t>
            </w:r>
            <w:r>
              <w:rPr>
                <w:rFonts w:hint="eastAsia" w:ascii="宋体" w:hAnsi="宋体" w:eastAsia="宋体" w:cs="宋体"/>
                <w:color w:val="000000" w:themeColor="text1"/>
                <w:szCs w:val="21"/>
                <w:highlight w:val="none"/>
                <w:lang w:bidi="ar"/>
                <w14:textFill>
                  <w14:solidFill>
                    <w14:schemeClr w14:val="tx1"/>
                  </w14:solidFill>
                </w14:textFill>
              </w:rPr>
              <w:t>分；（须提供施工合同）。</w:t>
            </w:r>
          </w:p>
          <w:p w14:paraId="2BDBF39E">
            <w:pPr>
              <w:spacing w:line="360" w:lineRule="auto"/>
              <w:ind w:firstLine="440"/>
              <w:jc w:val="left"/>
              <w:rPr>
                <w:rFonts w:hint="default"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注：</w:t>
            </w:r>
            <w:r>
              <w:rPr>
                <w:rFonts w:hint="eastAsia" w:cs="宋体"/>
                <w:color w:val="000000" w:themeColor="text1"/>
                <w:szCs w:val="21"/>
                <w:highlight w:val="none"/>
                <w:lang w:val="en-US" w:eastAsia="zh-CN" w:bidi="ar"/>
                <w14:textFill>
                  <w14:solidFill>
                    <w14:schemeClr w14:val="tx1"/>
                  </w14:solidFill>
                </w14:textFill>
              </w:rPr>
              <w:t>1、业绩认定时间以施工合同签订时间为准。</w:t>
            </w:r>
          </w:p>
          <w:p w14:paraId="3AE04076">
            <w:pPr>
              <w:spacing w:line="360" w:lineRule="auto"/>
              <w:ind w:firstLine="440"/>
              <w:jc w:val="left"/>
              <w:rPr>
                <w:rFonts w:hint="eastAsia" w:ascii="宋体" w:hAnsi="宋体" w:eastAsia="宋体" w:cs="宋体"/>
                <w:color w:val="000000" w:themeColor="text1"/>
                <w:szCs w:val="21"/>
                <w:highlight w:val="none"/>
                <w:lang w:bidi="ar"/>
                <w14:textFill>
                  <w14:solidFill>
                    <w14:schemeClr w14:val="tx1"/>
                  </w14:solidFill>
                </w14:textFill>
              </w:rPr>
            </w:pPr>
            <w:r>
              <w:rPr>
                <w:rFonts w:hint="eastAsia" w:cs="宋体"/>
                <w:color w:val="000000" w:themeColor="text1"/>
                <w:szCs w:val="21"/>
                <w:highlight w:val="none"/>
                <w:lang w:val="en-US" w:eastAsia="zh-CN" w:bidi="ar"/>
                <w14:textFill>
                  <w14:solidFill>
                    <w14:schemeClr w14:val="tx1"/>
                  </w14:solidFill>
                </w14:textFill>
              </w:rPr>
              <w:t>2、</w:t>
            </w:r>
            <w:r>
              <w:rPr>
                <w:rFonts w:hint="eastAsia" w:ascii="宋体" w:hAnsi="宋体" w:eastAsia="宋体" w:cs="宋体"/>
                <w:color w:val="000000" w:themeColor="text1"/>
                <w:szCs w:val="21"/>
                <w:highlight w:val="none"/>
                <w:lang w:bidi="ar"/>
                <w14:textFill>
                  <w14:solidFill>
                    <w14:schemeClr w14:val="tx1"/>
                  </w14:solidFill>
                </w14:textFill>
              </w:rPr>
              <w:t>原件扫描上传至电子投标文件中，未按上述要求提供证明文件，此项不得分。</w:t>
            </w:r>
          </w:p>
        </w:tc>
      </w:tr>
      <w:tr w14:paraId="7E44C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1" w:type="dxa"/>
            <w:vMerge w:val="continue"/>
            <w:tcBorders>
              <w:left w:val="single" w:color="auto" w:sz="4" w:space="0"/>
              <w:right w:val="single" w:color="auto" w:sz="4" w:space="0"/>
            </w:tcBorders>
            <w:noWrap w:val="0"/>
            <w:vAlign w:val="center"/>
          </w:tcPr>
          <w:p w14:paraId="09F667EF">
            <w:pPr>
              <w:rPr>
                <w:rFonts w:hint="eastAsia" w:ascii="宋体" w:hAnsi="宋体" w:eastAsia="宋体" w:cs="宋体"/>
                <w:color w:val="000000" w:themeColor="text1"/>
                <w:szCs w:val="21"/>
                <w:highlight w:val="none"/>
                <w14:textFill>
                  <w14:solidFill>
                    <w14:schemeClr w14:val="tx1"/>
                  </w14:solidFill>
                </w14:textFill>
              </w:rPr>
            </w:pPr>
          </w:p>
        </w:tc>
        <w:tc>
          <w:tcPr>
            <w:tcW w:w="907" w:type="dxa"/>
            <w:vMerge w:val="continue"/>
            <w:tcBorders>
              <w:left w:val="single" w:color="auto" w:sz="4" w:space="0"/>
              <w:right w:val="single" w:color="auto" w:sz="4" w:space="0"/>
            </w:tcBorders>
            <w:noWrap w:val="0"/>
            <w:vAlign w:val="center"/>
          </w:tcPr>
          <w:p w14:paraId="15CE8022">
            <w:pPr>
              <w:widowControl/>
              <w:jc w:val="left"/>
              <w:rPr>
                <w:rFonts w:hint="eastAsia" w:ascii="宋体" w:hAnsi="宋体" w:eastAsia="宋体" w:cs="宋体"/>
                <w:color w:val="000000" w:themeColor="text1"/>
                <w:szCs w:val="21"/>
                <w:highlight w:val="none"/>
                <w:lang w:bidi="ar"/>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0DC4AE6B">
            <w:pPr>
              <w:widowControl/>
              <w:spacing w:line="360" w:lineRule="auto"/>
              <w:jc w:val="center"/>
              <w:rPr>
                <w:rFonts w:hint="eastAsia" w:ascii="宋体" w:hAnsi="宋体" w:cs="等线"/>
                <w:color w:val="000000" w:themeColor="text1"/>
                <w:szCs w:val="21"/>
                <w:lang w:val="en-US" w:eastAsia="zh-CN" w:bidi="ar"/>
                <w14:textFill>
                  <w14:solidFill>
                    <w14:schemeClr w14:val="tx1"/>
                  </w14:solidFill>
                </w14:textFill>
              </w:rPr>
            </w:pPr>
            <w:r>
              <w:rPr>
                <w:rFonts w:hint="eastAsia" w:ascii="宋体" w:hAnsi="宋体" w:cs="等线"/>
                <w:color w:val="000000" w:themeColor="text1"/>
                <w:szCs w:val="21"/>
                <w:lang w:bidi="ar"/>
                <w14:textFill>
                  <w14:solidFill>
                    <w14:schemeClr w14:val="tx1"/>
                  </w14:solidFill>
                </w14:textFill>
              </w:rPr>
              <w:t>企业</w:t>
            </w:r>
            <w:r>
              <w:rPr>
                <w:rFonts w:hint="eastAsia" w:ascii="宋体" w:hAnsi="宋体" w:cs="等线"/>
                <w:color w:val="000000" w:themeColor="text1"/>
                <w:szCs w:val="21"/>
                <w:lang w:val="en-US" w:eastAsia="zh-CN" w:bidi="ar"/>
                <w14:textFill>
                  <w14:solidFill>
                    <w14:schemeClr w14:val="tx1"/>
                  </w14:solidFill>
                </w14:textFill>
              </w:rPr>
              <w:t>具有相关</w:t>
            </w:r>
          </w:p>
          <w:p w14:paraId="28CFBC09">
            <w:pPr>
              <w:widowControl/>
              <w:spacing w:line="360" w:lineRule="auto"/>
              <w:jc w:val="center"/>
              <w:rPr>
                <w:rFonts w:hint="default" w:ascii="宋体" w:hAnsi="宋体" w:cs="等线" w:eastAsiaTheme="minorEastAsia"/>
                <w:color w:val="000000" w:themeColor="text1"/>
                <w:szCs w:val="21"/>
                <w:lang w:val="en-US" w:eastAsia="zh-CN" w:bidi="ar"/>
                <w14:textFill>
                  <w14:solidFill>
                    <w14:schemeClr w14:val="tx1"/>
                  </w14:solidFill>
                </w14:textFill>
              </w:rPr>
            </w:pPr>
            <w:r>
              <w:rPr>
                <w:rFonts w:hint="eastAsia" w:ascii="宋体" w:hAnsi="宋体" w:cs="等线"/>
                <w:color w:val="000000" w:themeColor="text1"/>
                <w:szCs w:val="21"/>
                <w:lang w:val="en-US" w:eastAsia="zh-CN" w:bidi="ar"/>
                <w14:textFill>
                  <w14:solidFill>
                    <w14:schemeClr w14:val="tx1"/>
                  </w14:solidFill>
                </w14:textFill>
              </w:rPr>
              <w:t>认证</w:t>
            </w:r>
          </w:p>
          <w:p w14:paraId="143DD126">
            <w:pPr>
              <w:jc w:val="center"/>
              <w:rPr>
                <w:rFonts w:hint="eastAsia"/>
                <w:color w:val="000000" w:themeColor="text1"/>
                <w:highlight w:val="none"/>
                <w:lang w:val="en-US" w:eastAsia="zh-CN"/>
                <w14:textFill>
                  <w14:solidFill>
                    <w14:schemeClr w14:val="tx1"/>
                  </w14:solidFill>
                </w14:textFill>
              </w:rPr>
            </w:pPr>
            <w:r>
              <w:rPr>
                <w:rFonts w:hint="eastAsia" w:cs="宋体"/>
                <w:color w:val="000000" w:themeColor="text1"/>
                <w:sz w:val="22"/>
                <w:szCs w:val="21"/>
                <w:highlight w:val="none"/>
                <w:lang w:val="en-US" w:eastAsia="zh-CN" w:bidi="ar"/>
                <w14:textFill>
                  <w14:solidFill>
                    <w14:schemeClr w14:val="tx1"/>
                  </w14:solidFill>
                </w14:textFill>
              </w:rPr>
              <w:t>（6分）</w:t>
            </w:r>
          </w:p>
        </w:tc>
        <w:tc>
          <w:tcPr>
            <w:tcW w:w="7250" w:type="dxa"/>
            <w:tcBorders>
              <w:top w:val="single" w:color="auto" w:sz="4" w:space="0"/>
              <w:left w:val="single" w:color="auto" w:sz="4" w:space="0"/>
              <w:bottom w:val="single" w:color="auto" w:sz="4" w:space="0"/>
              <w:right w:val="single" w:color="auto" w:sz="4" w:space="0"/>
            </w:tcBorders>
            <w:noWrap w:val="0"/>
            <w:vAlign w:val="top"/>
          </w:tcPr>
          <w:p w14:paraId="01BF5909">
            <w:pPr>
              <w:spacing w:line="360" w:lineRule="auto"/>
              <w:ind w:firstLine="440"/>
              <w:jc w:val="left"/>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eastAsia="宋体" w:cs="宋体"/>
                <w:color w:val="000000" w:themeColor="text1"/>
                <w:szCs w:val="21"/>
                <w:highlight w:val="none"/>
                <w:lang w:eastAsia="zh-CN" w:bidi="ar"/>
                <w14:textFill>
                  <w14:solidFill>
                    <w14:schemeClr w14:val="tx1"/>
                  </w14:solidFill>
                </w14:textFill>
              </w:rPr>
              <w:t>供应商具有</w:t>
            </w:r>
            <w:r>
              <w:rPr>
                <w:rFonts w:hint="eastAsia" w:ascii="宋体" w:hAnsi="宋体" w:eastAsia="宋体" w:cs="宋体"/>
                <w:color w:val="000000" w:themeColor="text1"/>
                <w:szCs w:val="21"/>
                <w:highlight w:val="none"/>
                <w:lang w:val="en-US" w:eastAsia="zh-CN" w:bidi="ar"/>
                <w14:textFill>
                  <w14:solidFill>
                    <w14:schemeClr w14:val="tx1"/>
                  </w14:solidFill>
                </w14:textFill>
              </w:rPr>
              <w:t>有效的</w:t>
            </w:r>
            <w:r>
              <w:rPr>
                <w:rFonts w:hint="eastAsia" w:ascii="宋体" w:hAnsi="宋体" w:eastAsia="宋体" w:cs="宋体"/>
                <w:color w:val="000000" w:themeColor="text1"/>
                <w:szCs w:val="21"/>
                <w:highlight w:val="none"/>
                <w:lang w:eastAsia="zh-CN" w:bidi="ar"/>
                <w14:textFill>
                  <w14:solidFill>
                    <w14:schemeClr w14:val="tx1"/>
                  </w14:solidFill>
                </w14:textFill>
              </w:rPr>
              <w:t>质量管理体系认证证书、环境管理体系认</w:t>
            </w:r>
          </w:p>
          <w:p w14:paraId="763891B1">
            <w:pPr>
              <w:spacing w:line="360" w:lineRule="auto"/>
              <w:jc w:val="left"/>
              <w:rPr>
                <w:rFonts w:hint="default"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eastAsia="zh-CN" w:bidi="ar"/>
                <w14:textFill>
                  <w14:solidFill>
                    <w14:schemeClr w14:val="tx1"/>
                  </w14:solidFill>
                </w14:textFill>
              </w:rPr>
              <w:t>证证书、职业健康安全管理体系认证证书，</w:t>
            </w:r>
            <w:r>
              <w:rPr>
                <w:rFonts w:hint="eastAsia" w:ascii="宋体" w:hAnsi="宋体" w:eastAsia="宋体" w:cs="宋体"/>
                <w:color w:val="000000" w:themeColor="text1"/>
                <w:szCs w:val="21"/>
                <w:highlight w:val="none"/>
                <w:lang w:val="en-US" w:eastAsia="zh-CN" w:bidi="ar"/>
                <w14:textFill>
                  <w14:solidFill>
                    <w14:schemeClr w14:val="tx1"/>
                  </w14:solidFill>
                </w14:textFill>
              </w:rPr>
              <w:t>每有</w:t>
            </w:r>
            <w:r>
              <w:rPr>
                <w:rFonts w:hint="eastAsia" w:ascii="宋体" w:hAnsi="宋体" w:eastAsia="宋体" w:cs="宋体"/>
                <w:color w:val="000000" w:themeColor="text1"/>
                <w:szCs w:val="21"/>
                <w:highlight w:val="none"/>
                <w:lang w:eastAsia="zh-CN" w:bidi="ar"/>
                <w14:textFill>
                  <w14:solidFill>
                    <w14:schemeClr w14:val="tx1"/>
                  </w14:solidFill>
                </w14:textFill>
              </w:rPr>
              <w:t>一个得</w:t>
            </w:r>
            <w:r>
              <w:rPr>
                <w:rFonts w:hint="eastAsia" w:cs="宋体"/>
                <w:color w:val="000000" w:themeColor="text1"/>
                <w:szCs w:val="21"/>
                <w:highlight w:val="none"/>
                <w:lang w:val="en-US" w:eastAsia="zh-CN" w:bidi="ar"/>
                <w14:textFill>
                  <w14:solidFill>
                    <w14:schemeClr w14:val="tx1"/>
                  </w14:solidFill>
                </w14:textFill>
              </w:rPr>
              <w:t>2</w:t>
            </w:r>
            <w:r>
              <w:rPr>
                <w:rFonts w:hint="eastAsia" w:ascii="宋体" w:hAnsi="宋体" w:eastAsia="宋体" w:cs="宋体"/>
                <w:color w:val="000000" w:themeColor="text1"/>
                <w:szCs w:val="21"/>
                <w:highlight w:val="none"/>
                <w:lang w:eastAsia="zh-CN" w:bidi="ar"/>
                <w14:textFill>
                  <w14:solidFill>
                    <w14:schemeClr w14:val="tx1"/>
                  </w14:solidFill>
                </w14:textFill>
              </w:rPr>
              <w:t>分，最高</w:t>
            </w:r>
            <w:r>
              <w:rPr>
                <w:rFonts w:hint="eastAsia" w:cs="宋体"/>
                <w:color w:val="000000" w:themeColor="text1"/>
                <w:szCs w:val="21"/>
                <w:highlight w:val="none"/>
                <w:lang w:eastAsia="zh-CN" w:bidi="ar"/>
                <w14:textFill>
                  <w14:solidFill>
                    <w14:schemeClr w14:val="tx1"/>
                  </w14:solidFill>
                </w14:textFill>
              </w:rPr>
              <w:t>得</w:t>
            </w:r>
            <w:r>
              <w:rPr>
                <w:rFonts w:hint="eastAsia" w:cs="宋体"/>
                <w:color w:val="000000" w:themeColor="text1"/>
                <w:szCs w:val="21"/>
                <w:highlight w:val="none"/>
                <w:lang w:val="en-US" w:eastAsia="zh-CN" w:bidi="ar"/>
                <w14:textFill>
                  <w14:solidFill>
                    <w14:schemeClr w14:val="tx1"/>
                  </w14:solidFill>
                </w14:textFill>
              </w:rPr>
              <w:t>6</w:t>
            </w:r>
            <w:r>
              <w:rPr>
                <w:rFonts w:hint="eastAsia" w:ascii="宋体" w:hAnsi="宋体" w:eastAsia="宋体" w:cs="宋体"/>
                <w:color w:val="000000" w:themeColor="text1"/>
                <w:szCs w:val="21"/>
                <w:highlight w:val="none"/>
                <w:lang w:eastAsia="zh-CN" w:bidi="ar"/>
                <w14:textFill>
                  <w14:solidFill>
                    <w14:schemeClr w14:val="tx1"/>
                  </w14:solidFill>
                </w14:textFill>
              </w:rPr>
              <w:t>分。</w:t>
            </w:r>
          </w:p>
          <w:p w14:paraId="64AC6F52">
            <w:pPr>
              <w:spacing w:line="360" w:lineRule="auto"/>
              <w:ind w:firstLine="440"/>
              <w:jc w:val="left"/>
              <w:rPr>
                <w:rFonts w:hint="eastAsia"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eastAsia="zh-CN" w:bidi="ar"/>
                <w14:textFill>
                  <w14:solidFill>
                    <w14:schemeClr w14:val="tx1"/>
                  </w14:solidFill>
                </w14:textFill>
              </w:rPr>
              <w:t>注：</w:t>
            </w:r>
            <w:r>
              <w:rPr>
                <w:rFonts w:ascii="宋体" w:hAnsi="宋体" w:eastAsia="宋体" w:cs="宋体"/>
                <w:color w:val="000000" w:themeColor="text1"/>
                <w:sz w:val="21"/>
                <w:szCs w:val="21"/>
                <w14:textFill>
                  <w14:solidFill>
                    <w14:schemeClr w14:val="tx1"/>
                  </w14:solidFill>
                </w14:textFill>
              </w:rPr>
              <w:t>提供以上相关证书原件扫描件及国家市场监督管理总局全国认证认可信息公共服务平台查询截图加盖公章，上传至电子投标文件中，如不按要求提供不得分。</w:t>
            </w:r>
          </w:p>
        </w:tc>
      </w:tr>
    </w:tbl>
    <w:p w14:paraId="1828DD26">
      <w:pPr>
        <w:widowControl/>
        <w:spacing w:line="360" w:lineRule="auto"/>
        <w:ind w:firstLine="440"/>
        <w:jc w:val="left"/>
        <w:rPr>
          <w:rFonts w:hint="eastAsia" w:ascii="宋体" w:hAnsi="宋体" w:eastAsia="宋体" w:cs="宋体"/>
          <w:b/>
          <w:bCs/>
          <w:color w:val="auto"/>
          <w:szCs w:val="21"/>
          <w:highlight w:val="none"/>
        </w:rPr>
      </w:pPr>
    </w:p>
    <w:p w14:paraId="253AA065">
      <w:pPr>
        <w:widowControl/>
        <w:spacing w:line="360" w:lineRule="auto"/>
        <w:ind w:firstLine="440"/>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Cs w:val="21"/>
          <w:highlight w:val="none"/>
        </w:rPr>
        <w:t>注：</w:t>
      </w:r>
      <w:r>
        <w:rPr>
          <w:rFonts w:hint="eastAsia" w:ascii="宋体" w:hAnsi="宋体" w:eastAsia="宋体" w:cs="宋体"/>
          <w:b/>
          <w:bCs/>
          <w:color w:val="auto"/>
          <w:szCs w:val="21"/>
          <w:highlight w:val="none"/>
          <w:lang w:bidi="ar"/>
        </w:rPr>
        <w:t>投标文件中提供上述原件</w:t>
      </w:r>
      <w:r>
        <w:rPr>
          <w:rFonts w:hint="eastAsia" w:cs="宋体"/>
          <w:b/>
          <w:bCs/>
          <w:color w:val="auto"/>
          <w:szCs w:val="21"/>
          <w:highlight w:val="none"/>
          <w:lang w:val="en-US" w:eastAsia="zh-CN" w:bidi="ar"/>
        </w:rPr>
        <w:t>扫描件</w:t>
      </w:r>
      <w:r>
        <w:rPr>
          <w:rFonts w:hint="eastAsia" w:ascii="宋体" w:hAnsi="宋体" w:eastAsia="宋体" w:cs="宋体"/>
          <w:b/>
          <w:bCs/>
          <w:color w:val="auto"/>
          <w:szCs w:val="21"/>
          <w:highlight w:val="none"/>
          <w:lang w:bidi="ar"/>
        </w:rPr>
        <w:t>证明资料，</w:t>
      </w:r>
      <w:r>
        <w:rPr>
          <w:rFonts w:hint="eastAsia" w:ascii="宋体" w:hAnsi="宋体" w:eastAsia="宋体" w:cs="宋体"/>
          <w:b/>
          <w:color w:val="auto"/>
          <w:szCs w:val="21"/>
          <w:highlight w:val="none"/>
        </w:rPr>
        <w:t>提供的证明材料必须能清晰反映投标人名称、时间等需要明确的内容。没有明确、缺项、含糊不清的不予计分。</w:t>
      </w:r>
    </w:p>
    <w:p w14:paraId="6525F558">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一、磋商小组：</w:t>
      </w:r>
      <w:r>
        <w:rPr>
          <w:rFonts w:hint="eastAsia" w:ascii="宋体" w:hAnsi="宋体" w:eastAsia="宋体" w:cs="宋体"/>
          <w:color w:val="auto"/>
          <w:sz w:val="24"/>
          <w:highlight w:val="none"/>
          <w:lang w:bidi="ar"/>
        </w:rPr>
        <w:t xml:space="preserve">本采购项目磋商小组由采购人代表和评审专家组成。 </w:t>
      </w:r>
    </w:p>
    <w:p w14:paraId="663076D2">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二、评审方法：综合评分法 </w:t>
      </w:r>
    </w:p>
    <w:p w14:paraId="4B5E16A8">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经磋商确定最终采购需求和提交最后报价的供应商后，由磋商小组采用综合评分法对提交最后报价的供应商的响应文件和最后报价进行综合评分。 </w:t>
      </w:r>
    </w:p>
    <w:p w14:paraId="56BB20E5">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综合评分法，是指响应文件满足磋商文件全部实质性要求且按评审因素的量化指标评审得分最高的供应商为成交候选供应商的评审方法。 </w:t>
      </w:r>
    </w:p>
    <w:p w14:paraId="10862F7A">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三、评审原则： </w:t>
      </w:r>
    </w:p>
    <w:p w14:paraId="74E0B048">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p>
    <w:p w14:paraId="40372807">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四、评审标准： </w:t>
      </w:r>
    </w:p>
    <w:p w14:paraId="2DA9EFFF">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(一)评审时，磋商小组以磋商文件为评审依据，磋商小组各成员独立对每个有效响应的文件进行评价、打分，然后汇总每个供应商每项评分因素的得分。 </w:t>
      </w:r>
    </w:p>
    <w:p w14:paraId="784AD835">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(二)本项目评分总分为 100 分，按四舍五入取至小数点后两位。 </w:t>
      </w:r>
    </w:p>
    <w:p w14:paraId="589C1B3D">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价格分：</w:t>
      </w:r>
      <w:r>
        <w:rPr>
          <w:rFonts w:hint="eastAsia" w:cs="宋体"/>
          <w:color w:val="auto"/>
          <w:sz w:val="24"/>
          <w:highlight w:val="none"/>
          <w:lang w:val="en-US" w:eastAsia="zh-CN" w:bidi="ar"/>
        </w:rPr>
        <w:t>30</w:t>
      </w:r>
      <w:r>
        <w:rPr>
          <w:rFonts w:hint="eastAsia" w:ascii="宋体" w:hAnsi="宋体" w:eastAsia="宋体" w:cs="宋体"/>
          <w:color w:val="auto"/>
          <w:sz w:val="24"/>
          <w:highlight w:val="none"/>
          <w:lang w:bidi="ar"/>
        </w:rPr>
        <w:t>分      技术分：</w:t>
      </w:r>
      <w:r>
        <w:rPr>
          <w:rFonts w:hint="eastAsia" w:cs="宋体"/>
          <w:color w:val="auto"/>
          <w:sz w:val="24"/>
          <w:highlight w:val="none"/>
          <w:lang w:val="en-US" w:eastAsia="zh-CN" w:bidi="ar"/>
        </w:rPr>
        <w:t>47</w:t>
      </w:r>
      <w:r>
        <w:rPr>
          <w:rFonts w:hint="eastAsia" w:ascii="宋体" w:hAnsi="宋体" w:eastAsia="宋体" w:cs="宋体"/>
          <w:color w:val="auto"/>
          <w:sz w:val="24"/>
          <w:highlight w:val="none"/>
          <w:lang w:bidi="ar"/>
        </w:rPr>
        <w:t xml:space="preserve">分    </w:t>
      </w:r>
      <w:r>
        <w:rPr>
          <w:rFonts w:hint="eastAsia" w:ascii="宋体" w:hAnsi="宋体" w:eastAsia="宋体" w:cs="宋体"/>
          <w:color w:val="auto"/>
          <w:sz w:val="24"/>
          <w:highlight w:val="none"/>
          <w:lang w:eastAsia="zh-CN" w:bidi="ar"/>
        </w:rPr>
        <w:t>商务评审</w:t>
      </w:r>
      <w:r>
        <w:rPr>
          <w:rFonts w:hint="eastAsia" w:ascii="宋体" w:hAnsi="宋体" w:eastAsia="宋体" w:cs="宋体"/>
          <w:color w:val="auto"/>
          <w:sz w:val="24"/>
          <w:highlight w:val="none"/>
          <w:lang w:bidi="ar"/>
        </w:rPr>
        <w:t>：</w:t>
      </w:r>
      <w:r>
        <w:rPr>
          <w:rFonts w:hint="eastAsia" w:cs="宋体"/>
          <w:color w:val="auto"/>
          <w:sz w:val="24"/>
          <w:highlight w:val="none"/>
          <w:lang w:val="en-US" w:eastAsia="zh-CN" w:bidi="ar"/>
        </w:rPr>
        <w:t>23</w:t>
      </w:r>
      <w:r>
        <w:rPr>
          <w:rFonts w:hint="eastAsia" w:ascii="宋体" w:hAnsi="宋体" w:eastAsia="宋体" w:cs="宋体"/>
          <w:color w:val="auto"/>
          <w:sz w:val="24"/>
          <w:highlight w:val="none"/>
          <w:lang w:bidi="ar"/>
        </w:rPr>
        <w:t>分</w:t>
      </w:r>
    </w:p>
    <w:p w14:paraId="249D5757">
      <w:pPr>
        <w:widowControl/>
        <w:spacing w:line="360" w:lineRule="auto"/>
        <w:ind w:firstLine="480"/>
        <w:jc w:val="left"/>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总得分 =价格分+技术分+</w:t>
      </w:r>
      <w:r>
        <w:rPr>
          <w:rFonts w:hint="eastAsia" w:ascii="宋体" w:hAnsi="宋体" w:eastAsia="宋体" w:cs="宋体"/>
          <w:color w:val="auto"/>
          <w:sz w:val="24"/>
          <w:highlight w:val="none"/>
          <w:lang w:val="en-US" w:eastAsia="zh-CN" w:bidi="ar"/>
        </w:rPr>
        <w:t>商务分</w:t>
      </w:r>
    </w:p>
    <w:p w14:paraId="64B42980">
      <w:pPr>
        <w:widowControl/>
        <w:spacing w:line="360" w:lineRule="auto"/>
        <w:ind w:firstLine="480"/>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评分标准详见评标办法前附表</w:t>
      </w:r>
      <w:bookmarkEnd w:id="24"/>
      <w:bookmarkEnd w:id="25"/>
      <w:bookmarkEnd w:id="26"/>
    </w:p>
    <w:p w14:paraId="4BD702D4">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五、成交标准：</w:t>
      </w:r>
    </w:p>
    <w:p w14:paraId="553FC75A">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sectPr>
      <w:headerReference r:id="rId4" w:type="default"/>
      <w:footerReference r:id="rId5" w:type="default"/>
      <w:pgSz w:w="11910" w:h="16850"/>
      <w:pgMar w:top="1440" w:right="1080" w:bottom="1440" w:left="1080" w:header="725" w:footer="0"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Trebuchet MS"/>
    <w:panose1 w:val="020B0503020202020204"/>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B2DED">
    <w:pPr>
      <w:pStyle w:val="26"/>
      <w:jc w:val="cente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2FDAB">
    <w:pPr>
      <w:pStyle w:val="26"/>
    </w:pPr>
    <w:r>
      <w:rPr>
        <w:sz w:val="18"/>
      </w:rPr>
      <mc:AlternateContent>
        <mc:Choice Requires="wps">
          <w:drawing>
            <wp:anchor distT="0" distB="0" distL="114300" distR="114300" simplePos="0" relativeHeight="251660288" behindDoc="0" locked="0" layoutInCell="1" allowOverlap="1">
              <wp:simplePos x="0" y="0"/>
              <wp:positionH relativeFrom="margin">
                <wp:posOffset>2599055</wp:posOffset>
              </wp:positionH>
              <wp:positionV relativeFrom="paragraph">
                <wp:posOffset>-445135</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E60A64">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left:204.65pt;margin-top:-35.05pt;height:144pt;width:144pt;mso-position-horizontal-relative:margin;mso-wrap-style:none;z-index:251660288;mso-width-relative:page;mso-height-relative:page;" filled="f" stroked="f" coordsize="21600,21600" o:gfxdata="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&#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MbQGVfZAAAACwEAAA8AAAAAAAAAAQAgAAAAIgAAAGRy&#10;cy9kb3ducmV2LnhtbFBLAQIUABQAAAAIAIdO4kAZFp1MPQIAAG8EAAAOAAAAAAAAAAEAIAAAACgB&#10;AABkcnMvZTJvRG9jLnhtbFBLBQYAAAAABgAGAFkBAADXBQAAAAA=&#10;">
              <v:fill on="f" focussize="0,0"/>
              <v:stroke on="f" weight="0.5pt"/>
              <v:imagedata o:title=""/>
              <o:lock v:ext="edit" aspectratio="f"/>
              <v:textbox inset="0mm,0mm,0mm,0mm" style="mso-fit-shape-to-text:t;">
                <w:txbxContent>
                  <w:p w14:paraId="4AE60A64">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7CEA9">
    <w:pPr>
      <w:pStyle w:val="16"/>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39900" cy="139700"/>
                      </a:xfrm>
                      <a:prstGeom prst="rect">
                        <a:avLst/>
                      </a:prstGeom>
                      <a:noFill/>
                      <a:ln>
                        <a:noFill/>
                        <a:miter/>
                      </a:ln>
                    </wps:spPr>
                    <wps:txbx>
                      <w:txbxContent>
                        <w:p w14:paraId="3B00FA20"/>
                      </w:txbxContent>
                    </wps:txbx>
                    <wps:bodyPr wrap="square" lIns="0" tIns="0" rIns="0" bIns="0" upright="1"/>
                  </wps:wsp>
                </a:graphicData>
              </a:graphic>
            </wp:anchor>
          </w:drawing>
        </mc:Choice>
        <mc:Fallback>
          <w:pict>
            <v:shape id="_x0000_s1026" o:spid="_x0000_s1026" o:spt="202" type="#_x0000_t202" style="position:absolute;left:0pt;margin-left:53pt;margin-top:36.25pt;height:11pt;width:137pt;mso-position-horizontal-relative:page;mso-position-vertical-relative:page;z-index:-251657216;mso-width-relative:page;mso-height-relative:page;" filled="f" stroked="f" coordsize="21600,21600" o:gfxdata="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oVQwfYAAAACQEAAA8AAAAAAAAAAQAgAAAA&#10;IgAAAGRycy9kb3ducmV2LnhtbFBLAQIUABQAAAAIAIdO4kABIP/70gEAAJgDAAAOAAAAAAAAAAEA&#10;IAAAACcBAABkcnMvZTJvRG9jLnhtbFBLBQYAAAAABgAGAFkBAABrBQAAAAA=&#10;">
              <v:fill on="f" focussize="0,0"/>
              <v:stroke on="f" joinstyle="miter"/>
              <v:imagedata o:title=""/>
              <o:lock v:ext="edit" aspectratio="f"/>
              <v:textbox inset="0mm,0mm,0mm,0mm">
                <w:txbxContent>
                  <w:p w14:paraId="3B00FA20"/>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japaneseCounting"/>
      <w:lvlText w:val="%1、"/>
      <w:lvlJc w:val="left"/>
      <w:pPr>
        <w:ind w:left="720" w:hanging="720"/>
      </w:pPr>
      <w:rPr>
        <w:rFonts w:hint="default" w:cs="宋体"/>
        <w:color w:val="000000"/>
        <w:sz w:val="3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59ADCABA"/>
    <w:multiLevelType w:val="multilevel"/>
    <w:tmpl w:val="59ADCABA"/>
    <w:lvl w:ilvl="0" w:tentative="0">
      <w:start w:val="2"/>
      <w:numFmt w:val="chineseCounting"/>
      <w:suff w:val="nothing"/>
      <w:lvlText w:val="%1、"/>
      <w:lvlJc w:val="left"/>
      <w:pPr>
        <w:ind w:left="-202"/>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67D58"/>
    <w:rsid w:val="01625385"/>
    <w:rsid w:val="01B91D0C"/>
    <w:rsid w:val="020967F0"/>
    <w:rsid w:val="03394EB3"/>
    <w:rsid w:val="035937A7"/>
    <w:rsid w:val="03CF3A69"/>
    <w:rsid w:val="03F13EF2"/>
    <w:rsid w:val="040255FB"/>
    <w:rsid w:val="04B34B4B"/>
    <w:rsid w:val="05E732EC"/>
    <w:rsid w:val="06676DF1"/>
    <w:rsid w:val="07CA293D"/>
    <w:rsid w:val="07F608C5"/>
    <w:rsid w:val="08C276F9"/>
    <w:rsid w:val="097529BD"/>
    <w:rsid w:val="09CF6571"/>
    <w:rsid w:val="0A2C0C06"/>
    <w:rsid w:val="0C2B1A59"/>
    <w:rsid w:val="0C776A4C"/>
    <w:rsid w:val="0D1349C7"/>
    <w:rsid w:val="0E083E00"/>
    <w:rsid w:val="0EA55AF2"/>
    <w:rsid w:val="0F767555"/>
    <w:rsid w:val="0FB83603"/>
    <w:rsid w:val="10172A20"/>
    <w:rsid w:val="11332B9C"/>
    <w:rsid w:val="11DA3D05"/>
    <w:rsid w:val="121C2136"/>
    <w:rsid w:val="1299424E"/>
    <w:rsid w:val="12AA7B7B"/>
    <w:rsid w:val="13E250F3"/>
    <w:rsid w:val="143A6CDD"/>
    <w:rsid w:val="14F450DE"/>
    <w:rsid w:val="152A4FA3"/>
    <w:rsid w:val="15303BB2"/>
    <w:rsid w:val="155E2E9F"/>
    <w:rsid w:val="15695ACC"/>
    <w:rsid w:val="160475A2"/>
    <w:rsid w:val="17035AAC"/>
    <w:rsid w:val="17AD77C6"/>
    <w:rsid w:val="17B61E80"/>
    <w:rsid w:val="183121A5"/>
    <w:rsid w:val="18CB4CFE"/>
    <w:rsid w:val="190478B9"/>
    <w:rsid w:val="19081158"/>
    <w:rsid w:val="1997072D"/>
    <w:rsid w:val="19C239FC"/>
    <w:rsid w:val="1A037B71"/>
    <w:rsid w:val="1A231FC1"/>
    <w:rsid w:val="1A7171D0"/>
    <w:rsid w:val="1B285AE1"/>
    <w:rsid w:val="1B626249"/>
    <w:rsid w:val="1BF43C15"/>
    <w:rsid w:val="1C7D00AF"/>
    <w:rsid w:val="1C8A6328"/>
    <w:rsid w:val="1CBD494F"/>
    <w:rsid w:val="1CBD66FD"/>
    <w:rsid w:val="1CC655B2"/>
    <w:rsid w:val="1CF55E97"/>
    <w:rsid w:val="1D4330A6"/>
    <w:rsid w:val="1D840FC9"/>
    <w:rsid w:val="1EB61656"/>
    <w:rsid w:val="1EC21DA9"/>
    <w:rsid w:val="1F817EB6"/>
    <w:rsid w:val="204131A1"/>
    <w:rsid w:val="20A079B5"/>
    <w:rsid w:val="20AA343C"/>
    <w:rsid w:val="21190D9C"/>
    <w:rsid w:val="2144654F"/>
    <w:rsid w:val="219A3CD5"/>
    <w:rsid w:val="21D63D2C"/>
    <w:rsid w:val="235B27CC"/>
    <w:rsid w:val="238E494F"/>
    <w:rsid w:val="23C15B1D"/>
    <w:rsid w:val="240C3CC8"/>
    <w:rsid w:val="24594F5D"/>
    <w:rsid w:val="253B0B07"/>
    <w:rsid w:val="267D4D7A"/>
    <w:rsid w:val="270C62B7"/>
    <w:rsid w:val="27427F2B"/>
    <w:rsid w:val="27A02EA3"/>
    <w:rsid w:val="28E22AEC"/>
    <w:rsid w:val="28FE2577"/>
    <w:rsid w:val="2A3A7EFE"/>
    <w:rsid w:val="2A461AE0"/>
    <w:rsid w:val="2A673416"/>
    <w:rsid w:val="2A816FBC"/>
    <w:rsid w:val="2B1C6CE5"/>
    <w:rsid w:val="2B4D3342"/>
    <w:rsid w:val="2BF328F8"/>
    <w:rsid w:val="2C11611D"/>
    <w:rsid w:val="2CA07E98"/>
    <w:rsid w:val="2CA43435"/>
    <w:rsid w:val="2CD930DF"/>
    <w:rsid w:val="2DB150B6"/>
    <w:rsid w:val="2DE04677"/>
    <w:rsid w:val="2E1D524D"/>
    <w:rsid w:val="2E750BE6"/>
    <w:rsid w:val="2FB475A5"/>
    <w:rsid w:val="2FD16660"/>
    <w:rsid w:val="301D32E3"/>
    <w:rsid w:val="3034062C"/>
    <w:rsid w:val="307A6987"/>
    <w:rsid w:val="31880C30"/>
    <w:rsid w:val="31AD4B3A"/>
    <w:rsid w:val="31F134B7"/>
    <w:rsid w:val="32D3237F"/>
    <w:rsid w:val="33000870"/>
    <w:rsid w:val="3344502A"/>
    <w:rsid w:val="334C2A96"/>
    <w:rsid w:val="340C39CC"/>
    <w:rsid w:val="34473024"/>
    <w:rsid w:val="34DA5C46"/>
    <w:rsid w:val="351F5D4F"/>
    <w:rsid w:val="358D4A67"/>
    <w:rsid w:val="35B33952"/>
    <w:rsid w:val="362F3D70"/>
    <w:rsid w:val="36C56482"/>
    <w:rsid w:val="36D30B9F"/>
    <w:rsid w:val="379522F8"/>
    <w:rsid w:val="37AA26C8"/>
    <w:rsid w:val="37EC3F5E"/>
    <w:rsid w:val="37F72F15"/>
    <w:rsid w:val="3A06303A"/>
    <w:rsid w:val="3BDA652C"/>
    <w:rsid w:val="3C3A6FCB"/>
    <w:rsid w:val="3D785FFC"/>
    <w:rsid w:val="3E42660A"/>
    <w:rsid w:val="3F0548DC"/>
    <w:rsid w:val="3F087854"/>
    <w:rsid w:val="3F760C61"/>
    <w:rsid w:val="3FE07E89"/>
    <w:rsid w:val="40692574"/>
    <w:rsid w:val="413E57AF"/>
    <w:rsid w:val="416601AF"/>
    <w:rsid w:val="418A5CA3"/>
    <w:rsid w:val="42A33B1C"/>
    <w:rsid w:val="42FA0C11"/>
    <w:rsid w:val="435C3CCA"/>
    <w:rsid w:val="43B85934"/>
    <w:rsid w:val="44DA759D"/>
    <w:rsid w:val="44EF1C2A"/>
    <w:rsid w:val="46166F98"/>
    <w:rsid w:val="46935C55"/>
    <w:rsid w:val="47FE17F4"/>
    <w:rsid w:val="48627FD5"/>
    <w:rsid w:val="495B14CF"/>
    <w:rsid w:val="499C3073"/>
    <w:rsid w:val="4A266DE0"/>
    <w:rsid w:val="4B7778F3"/>
    <w:rsid w:val="4B84176D"/>
    <w:rsid w:val="4BAB3A41"/>
    <w:rsid w:val="4CF54969"/>
    <w:rsid w:val="4D422183"/>
    <w:rsid w:val="4DA72E47"/>
    <w:rsid w:val="4DF47928"/>
    <w:rsid w:val="4E080E98"/>
    <w:rsid w:val="4E5263F6"/>
    <w:rsid w:val="4E832A53"/>
    <w:rsid w:val="4F1F277C"/>
    <w:rsid w:val="4F245FE4"/>
    <w:rsid w:val="4F420554"/>
    <w:rsid w:val="4F7D74A2"/>
    <w:rsid w:val="502F4C40"/>
    <w:rsid w:val="5099030C"/>
    <w:rsid w:val="50BD049E"/>
    <w:rsid w:val="511931FB"/>
    <w:rsid w:val="51A056CA"/>
    <w:rsid w:val="51D75590"/>
    <w:rsid w:val="53004672"/>
    <w:rsid w:val="531C2675"/>
    <w:rsid w:val="53344B94"/>
    <w:rsid w:val="539B0773"/>
    <w:rsid w:val="539B439B"/>
    <w:rsid w:val="550356CA"/>
    <w:rsid w:val="551D7FD7"/>
    <w:rsid w:val="552E6CBD"/>
    <w:rsid w:val="555B0286"/>
    <w:rsid w:val="56372AA1"/>
    <w:rsid w:val="566B2474"/>
    <w:rsid w:val="5670621D"/>
    <w:rsid w:val="56984F31"/>
    <w:rsid w:val="57FE314A"/>
    <w:rsid w:val="58AB05A6"/>
    <w:rsid w:val="58D049E2"/>
    <w:rsid w:val="58DE1992"/>
    <w:rsid w:val="594A4899"/>
    <w:rsid w:val="59762F6D"/>
    <w:rsid w:val="5A105AE3"/>
    <w:rsid w:val="5A4F2C72"/>
    <w:rsid w:val="5B615ECA"/>
    <w:rsid w:val="5C9F4EFC"/>
    <w:rsid w:val="5CA50038"/>
    <w:rsid w:val="5CEB1EEF"/>
    <w:rsid w:val="5D0B433F"/>
    <w:rsid w:val="5D623872"/>
    <w:rsid w:val="5D852344"/>
    <w:rsid w:val="5DAF513D"/>
    <w:rsid w:val="5DB91FED"/>
    <w:rsid w:val="5E127950"/>
    <w:rsid w:val="5E6463FD"/>
    <w:rsid w:val="5E7F70D4"/>
    <w:rsid w:val="5EFD0600"/>
    <w:rsid w:val="5F5C0E82"/>
    <w:rsid w:val="5F697A43"/>
    <w:rsid w:val="5F990328"/>
    <w:rsid w:val="5FF90DC7"/>
    <w:rsid w:val="60B116A2"/>
    <w:rsid w:val="60C15E21"/>
    <w:rsid w:val="623205C0"/>
    <w:rsid w:val="6291178B"/>
    <w:rsid w:val="63FE69AC"/>
    <w:rsid w:val="647E6DE2"/>
    <w:rsid w:val="648D7D30"/>
    <w:rsid w:val="65363F24"/>
    <w:rsid w:val="656C203B"/>
    <w:rsid w:val="66895788"/>
    <w:rsid w:val="669058B5"/>
    <w:rsid w:val="66EC3434"/>
    <w:rsid w:val="67002A3B"/>
    <w:rsid w:val="676D0B49"/>
    <w:rsid w:val="67AF7FBD"/>
    <w:rsid w:val="68112A26"/>
    <w:rsid w:val="687E455F"/>
    <w:rsid w:val="68E24AEE"/>
    <w:rsid w:val="697D0373"/>
    <w:rsid w:val="6B4F3F91"/>
    <w:rsid w:val="6C276CBC"/>
    <w:rsid w:val="6CF47EB1"/>
    <w:rsid w:val="6D4F5576"/>
    <w:rsid w:val="6DDB1B0C"/>
    <w:rsid w:val="6F165B97"/>
    <w:rsid w:val="6FF50397"/>
    <w:rsid w:val="707A1AB0"/>
    <w:rsid w:val="708579C5"/>
    <w:rsid w:val="723A2BE4"/>
    <w:rsid w:val="72623B9B"/>
    <w:rsid w:val="74AE4D80"/>
    <w:rsid w:val="74B3733F"/>
    <w:rsid w:val="764C7A4B"/>
    <w:rsid w:val="765A218F"/>
    <w:rsid w:val="777032C5"/>
    <w:rsid w:val="784D1858"/>
    <w:rsid w:val="786E279C"/>
    <w:rsid w:val="78D97A84"/>
    <w:rsid w:val="791A5BDE"/>
    <w:rsid w:val="797D5726"/>
    <w:rsid w:val="7B5657A0"/>
    <w:rsid w:val="7BCD0462"/>
    <w:rsid w:val="7C5E4034"/>
    <w:rsid w:val="7D0A5F6A"/>
    <w:rsid w:val="7D605B8A"/>
    <w:rsid w:val="7D8216AB"/>
    <w:rsid w:val="7D9C12B8"/>
    <w:rsid w:val="7DA95309"/>
    <w:rsid w:val="7EAA17B2"/>
    <w:rsid w:val="7FCC57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hint="default" w:ascii="宋体" w:hAnsi="宋体" w:eastAsia="宋体" w:cs="宋体"/>
      <w:sz w:val="22"/>
      <w:szCs w:val="22"/>
      <w:lang w:val="en-US" w:eastAsia="en-US" w:bidi="ar-SA"/>
    </w:rPr>
  </w:style>
  <w:style w:type="paragraph" w:styleId="3">
    <w:name w:val="heading 1"/>
    <w:basedOn w:val="1"/>
    <w:next w:val="1"/>
    <w:qFormat/>
    <w:uiPriority w:val="1"/>
    <w:pPr>
      <w:spacing w:before="1"/>
      <w:outlineLvl w:val="0"/>
    </w:pPr>
    <w:rPr>
      <w:b/>
      <w:bCs/>
      <w:sz w:val="52"/>
      <w:szCs w:val="52"/>
    </w:rPr>
  </w:style>
  <w:style w:type="paragraph" w:styleId="4">
    <w:name w:val="heading 2"/>
    <w:basedOn w:val="1"/>
    <w:next w:val="1"/>
    <w:qFormat/>
    <w:uiPriority w:val="1"/>
    <w:pPr>
      <w:spacing w:before="38"/>
      <w:ind w:left="2517"/>
      <w:outlineLvl w:val="1"/>
    </w:pPr>
    <w:rPr>
      <w:b/>
      <w:bCs/>
      <w:sz w:val="44"/>
      <w:szCs w:val="44"/>
    </w:rPr>
  </w:style>
  <w:style w:type="paragraph" w:styleId="5">
    <w:name w:val="heading 3"/>
    <w:basedOn w:val="1"/>
    <w:next w:val="1"/>
    <w:qFormat/>
    <w:uiPriority w:val="1"/>
    <w:pPr>
      <w:spacing w:before="24"/>
      <w:jc w:val="center"/>
      <w:outlineLvl w:val="2"/>
    </w:pPr>
    <w:rPr>
      <w:b/>
      <w:bCs/>
      <w:sz w:val="32"/>
      <w:szCs w:val="32"/>
    </w:rPr>
  </w:style>
  <w:style w:type="paragraph" w:styleId="6">
    <w:name w:val="heading 4"/>
    <w:basedOn w:val="1"/>
    <w:next w:val="1"/>
    <w:qFormat/>
    <w:uiPriority w:val="1"/>
    <w:pPr>
      <w:spacing w:before="23"/>
      <w:ind w:left="2" w:right="438"/>
      <w:jc w:val="center"/>
      <w:outlineLvl w:val="3"/>
    </w:pPr>
    <w:rPr>
      <w:b/>
      <w:bCs/>
      <w:sz w:val="30"/>
      <w:szCs w:val="30"/>
    </w:rPr>
  </w:style>
  <w:style w:type="paragraph" w:styleId="7">
    <w:name w:val="heading 5"/>
    <w:basedOn w:val="1"/>
    <w:next w:val="1"/>
    <w:qFormat/>
    <w:uiPriority w:val="1"/>
    <w:pPr>
      <w:spacing w:before="1"/>
      <w:ind w:left="1000"/>
      <w:outlineLvl w:val="4"/>
    </w:pPr>
    <w:rPr>
      <w:b/>
      <w:bCs/>
      <w:sz w:val="28"/>
      <w:szCs w:val="28"/>
    </w:rPr>
  </w:style>
  <w:style w:type="paragraph" w:styleId="8">
    <w:name w:val="heading 6"/>
    <w:basedOn w:val="1"/>
    <w:next w:val="1"/>
    <w:qFormat/>
    <w:uiPriority w:val="1"/>
    <w:pPr>
      <w:ind w:left="702"/>
      <w:outlineLvl w:val="5"/>
    </w:pPr>
    <w:rPr>
      <w:b/>
      <w:bCs/>
      <w:sz w:val="24"/>
      <w:szCs w:val="24"/>
    </w:rPr>
  </w:style>
  <w:style w:type="paragraph" w:styleId="9">
    <w:name w:val="heading 7"/>
    <w:basedOn w:val="1"/>
    <w:next w:val="1"/>
    <w:link w:val="6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0"/>
    <w:unhideWhenUsed/>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正文1"/>
    <w:next w:val="1"/>
    <w:qFormat/>
    <w:uiPriority w:val="99"/>
    <w:pPr>
      <w:widowControl w:val="0"/>
      <w:jc w:val="both"/>
    </w:pPr>
    <w:rPr>
      <w:rFonts w:hint="default" w:ascii="Calibri" w:hAnsi="Calibri" w:eastAsia="宋体" w:cs="Calibri"/>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Normal Indent"/>
    <w:basedOn w:val="1"/>
    <w:next w:val="1"/>
    <w:link w:val="223"/>
    <w:qFormat/>
    <w:uiPriority w:val="0"/>
    <w:pPr>
      <w:ind w:firstLine="420"/>
    </w:pPr>
    <w:rPr>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215"/>
    <w:qFormat/>
    <w:uiPriority w:val="0"/>
  </w:style>
  <w:style w:type="paragraph" w:styleId="16">
    <w:name w:val="Body Text"/>
    <w:basedOn w:val="1"/>
    <w:next w:val="13"/>
    <w:qFormat/>
    <w:uiPriority w:val="1"/>
    <w:rPr>
      <w:sz w:val="24"/>
      <w:szCs w:val="24"/>
    </w:rPr>
  </w:style>
  <w:style w:type="paragraph" w:styleId="17">
    <w:name w:val="Body Text Indent"/>
    <w:basedOn w:val="1"/>
    <w:next w:val="1"/>
    <w:qFormat/>
    <w:uiPriority w:val="0"/>
    <w:pPr>
      <w:ind w:firstLine="645"/>
    </w:pPr>
    <w:rPr>
      <w:rFonts w:ascii="楷体_GB2312" w:eastAsia="楷体_GB2312"/>
      <w:sz w:val="32"/>
      <w:szCs w:val="20"/>
    </w:rPr>
  </w:style>
  <w:style w:type="paragraph" w:styleId="18">
    <w:name w:val="Block Text"/>
    <w:basedOn w:val="1"/>
    <w:qFormat/>
    <w:uiPriority w:val="0"/>
    <w:pPr>
      <w:ind w:left="256" w:right="6" w:firstLine="624"/>
    </w:pPr>
    <w:rPr>
      <w:rFonts w:eastAsia="仿宋_GB2312"/>
      <w:sz w:val="28"/>
      <w:szCs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hAnsi="Courier New"/>
      <w:szCs w:val="20"/>
    </w:rPr>
  </w:style>
  <w:style w:type="paragraph" w:styleId="22">
    <w:name w:val="toc 8"/>
    <w:basedOn w:val="1"/>
    <w:next w:val="1"/>
    <w:unhideWhenUsed/>
    <w:qFormat/>
    <w:uiPriority w:val="39"/>
    <w:pPr>
      <w:spacing w:after="57"/>
      <w:ind w:left="1984" w:right="0" w:firstLine="0"/>
    </w:pPr>
  </w:style>
  <w:style w:type="paragraph" w:styleId="23">
    <w:name w:val="Body Text Indent 2"/>
    <w:basedOn w:val="1"/>
    <w:qFormat/>
    <w:uiPriority w:val="0"/>
    <w:pPr>
      <w:spacing w:after="120" w:line="480" w:lineRule="auto"/>
      <w:ind w:left="420"/>
    </w:pPr>
  </w:style>
  <w:style w:type="paragraph" w:styleId="24">
    <w:name w:val="endnote text"/>
    <w:basedOn w:val="1"/>
    <w:link w:val="207"/>
    <w:semiHidden/>
    <w:unhideWhenUsed/>
    <w:qFormat/>
    <w:uiPriority w:val="99"/>
    <w:pPr>
      <w:spacing w:after="0" w:line="240" w:lineRule="auto"/>
    </w:pPr>
    <w:rPr>
      <w:sz w:val="20"/>
    </w:rPr>
  </w:style>
  <w:style w:type="paragraph" w:styleId="25">
    <w:name w:val="Balloon Text"/>
    <w:basedOn w:val="1"/>
    <w:link w:val="217"/>
    <w:qFormat/>
    <w:uiPriority w:val="0"/>
    <w:rPr>
      <w:sz w:val="18"/>
      <w:szCs w:val="18"/>
    </w:rPr>
  </w:style>
  <w:style w:type="paragraph" w:styleId="26">
    <w:name w:val="footer"/>
    <w:basedOn w:val="1"/>
    <w:qFormat/>
    <w:uiPriority w:val="0"/>
    <w:pPr>
      <w:tabs>
        <w:tab w:val="center" w:pos="4153"/>
        <w:tab w:val="right" w:pos="8306"/>
      </w:tabs>
    </w:pPr>
    <w:rPr>
      <w:sz w:val="18"/>
    </w:rPr>
  </w:style>
  <w:style w:type="paragraph" w:styleId="27">
    <w:name w:val="envelope return"/>
    <w:basedOn w:val="1"/>
    <w:qFormat/>
    <w:uiPriority w:val="0"/>
    <w:rPr>
      <w:rFonts w:ascii="Arial" w:hAnsi="Arial"/>
    </w:rPr>
  </w:style>
  <w:style w:type="paragraph" w:styleId="2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9">
    <w:name w:val="toc 1"/>
    <w:basedOn w:val="1"/>
    <w:next w:val="1"/>
    <w:qFormat/>
    <w:uiPriority w:val="0"/>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73"/>
    <w:qFormat/>
    <w:uiPriority w:val="11"/>
    <w:pPr>
      <w:spacing w:before="200" w:after="200"/>
    </w:pPr>
    <w:rPr>
      <w:sz w:val="24"/>
      <w:szCs w:val="24"/>
    </w:rPr>
  </w:style>
  <w:style w:type="paragraph" w:styleId="32">
    <w:name w:val="footnote text"/>
    <w:basedOn w:val="1"/>
    <w:link w:val="206"/>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Normal (Web)"/>
    <w:basedOn w:val="1"/>
    <w:qFormat/>
    <w:uiPriority w:val="99"/>
    <w:pPr>
      <w:widowControl/>
      <w:spacing w:before="100" w:beforeAutospacing="1" w:after="100" w:afterAutospacing="1"/>
      <w:jc w:val="left"/>
    </w:pPr>
    <w:rPr>
      <w:rFonts w:ascii="宋体" w:hAnsi="宋体"/>
      <w:sz w:val="24"/>
    </w:rPr>
  </w:style>
  <w:style w:type="paragraph" w:styleId="38">
    <w:name w:val="Title"/>
    <w:basedOn w:val="1"/>
    <w:qFormat/>
    <w:uiPriority w:val="1"/>
    <w:pPr>
      <w:ind w:left="35"/>
      <w:jc w:val="center"/>
    </w:pPr>
    <w:rPr>
      <w:b/>
      <w:bCs/>
      <w:sz w:val="80"/>
      <w:szCs w:val="80"/>
    </w:rPr>
  </w:style>
  <w:style w:type="paragraph" w:styleId="39">
    <w:name w:val="annotation subject"/>
    <w:basedOn w:val="15"/>
    <w:next w:val="15"/>
    <w:link w:val="216"/>
    <w:qFormat/>
    <w:uiPriority w:val="0"/>
    <w:rPr>
      <w:b/>
      <w:bCs/>
    </w:rPr>
  </w:style>
  <w:style w:type="paragraph" w:styleId="40">
    <w:name w:val="Body Text First Indent"/>
    <w:basedOn w:val="16"/>
    <w:next w:val="1"/>
    <w:qFormat/>
    <w:uiPriority w:val="0"/>
    <w:pPr>
      <w:ind w:firstLine="100"/>
    </w:pPr>
  </w:style>
  <w:style w:type="paragraph" w:styleId="41">
    <w:name w:val="Body Text First Indent 2"/>
    <w:basedOn w:val="17"/>
    <w:next w:val="40"/>
    <w:unhideWhenUsed/>
    <w:qFormat/>
    <w:uiPriority w:val="99"/>
    <w:pPr>
      <w:ind w:left="420" w:firstLine="420"/>
    </w:pPr>
  </w:style>
  <w:style w:type="table" w:styleId="43">
    <w:name w:val="Table Grid"/>
    <w:basedOn w:val="4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basedOn w:val="44"/>
    <w:qFormat/>
    <w:uiPriority w:val="0"/>
    <w:rPr>
      <w:b/>
      <w:bCs/>
    </w:rPr>
  </w:style>
  <w:style w:type="character" w:styleId="46">
    <w:name w:val="endnote reference"/>
    <w:basedOn w:val="44"/>
    <w:semiHidden/>
    <w:unhideWhenUsed/>
    <w:qFormat/>
    <w:uiPriority w:val="99"/>
    <w:rPr>
      <w:vertAlign w:val="superscript"/>
    </w:rPr>
  </w:style>
  <w:style w:type="character" w:styleId="47">
    <w:name w:val="FollowedHyperlink"/>
    <w:basedOn w:val="44"/>
    <w:qFormat/>
    <w:uiPriority w:val="0"/>
    <w:rPr>
      <w:color w:val="800080"/>
      <w:u w:val="none"/>
    </w:rPr>
  </w:style>
  <w:style w:type="character" w:styleId="48">
    <w:name w:val="HTML Definition"/>
    <w:basedOn w:val="44"/>
    <w:qFormat/>
    <w:uiPriority w:val="0"/>
  </w:style>
  <w:style w:type="character" w:styleId="49">
    <w:name w:val="HTML Typewriter"/>
    <w:basedOn w:val="44"/>
    <w:qFormat/>
    <w:uiPriority w:val="0"/>
    <w:rPr>
      <w:rFonts w:hint="default" w:ascii="monospace" w:hAnsi="monospace" w:eastAsia="monospace" w:cs="monospace"/>
      <w:sz w:val="20"/>
    </w:rPr>
  </w:style>
  <w:style w:type="character" w:styleId="50">
    <w:name w:val="HTML Acronym"/>
    <w:basedOn w:val="44"/>
    <w:qFormat/>
    <w:uiPriority w:val="0"/>
  </w:style>
  <w:style w:type="character" w:styleId="51">
    <w:name w:val="HTML Variable"/>
    <w:basedOn w:val="44"/>
    <w:qFormat/>
    <w:uiPriority w:val="0"/>
  </w:style>
  <w:style w:type="character" w:styleId="52">
    <w:name w:val="Hyperlink"/>
    <w:basedOn w:val="44"/>
    <w:qFormat/>
    <w:uiPriority w:val="0"/>
    <w:rPr>
      <w:color w:val="0000FF"/>
      <w:u w:val="none"/>
    </w:rPr>
  </w:style>
  <w:style w:type="character" w:styleId="53">
    <w:name w:val="HTML Code"/>
    <w:basedOn w:val="44"/>
    <w:qFormat/>
    <w:uiPriority w:val="0"/>
    <w:rPr>
      <w:rFonts w:hint="default" w:ascii="monospace" w:hAnsi="monospace" w:eastAsia="monospace" w:cs="monospace"/>
      <w:sz w:val="20"/>
    </w:rPr>
  </w:style>
  <w:style w:type="character" w:styleId="54">
    <w:name w:val="annotation reference"/>
    <w:basedOn w:val="44"/>
    <w:qFormat/>
    <w:uiPriority w:val="0"/>
    <w:rPr>
      <w:sz w:val="21"/>
      <w:szCs w:val="21"/>
    </w:rPr>
  </w:style>
  <w:style w:type="character" w:styleId="55">
    <w:name w:val="HTML Cite"/>
    <w:basedOn w:val="44"/>
    <w:qFormat/>
    <w:uiPriority w:val="0"/>
  </w:style>
  <w:style w:type="character" w:styleId="56">
    <w:name w:val="footnote reference"/>
    <w:basedOn w:val="44"/>
    <w:unhideWhenUsed/>
    <w:qFormat/>
    <w:uiPriority w:val="99"/>
    <w:rPr>
      <w:vertAlign w:val="superscript"/>
    </w:rPr>
  </w:style>
  <w:style w:type="character" w:styleId="57">
    <w:name w:val="HTML Keyboard"/>
    <w:basedOn w:val="44"/>
    <w:qFormat/>
    <w:uiPriority w:val="0"/>
    <w:rPr>
      <w:rFonts w:ascii="monospace" w:hAnsi="monospace" w:eastAsia="monospace" w:cs="monospace"/>
      <w:sz w:val="20"/>
    </w:rPr>
  </w:style>
  <w:style w:type="character" w:styleId="58">
    <w:name w:val="HTML Sample"/>
    <w:basedOn w:val="44"/>
    <w:qFormat/>
    <w:uiPriority w:val="0"/>
    <w:rPr>
      <w:rFonts w:hint="default" w:ascii="monospace" w:hAnsi="monospace" w:eastAsia="monospace" w:cs="monospace"/>
    </w:rPr>
  </w:style>
  <w:style w:type="paragraph" w:customStyle="1" w:styleId="59">
    <w:name w:val="Default"/>
    <w:link w:val="225"/>
    <w:qFormat/>
    <w:uiPriority w:val="99"/>
    <w:pPr>
      <w:widowControl w:val="0"/>
    </w:pPr>
    <w:rPr>
      <w:rFonts w:hint="default" w:ascii="仿宋_GB2312" w:hAnsi="Times New Roman" w:eastAsia="仿宋_GB2312" w:cs="Times New Roman"/>
      <w:color w:val="000000"/>
      <w:sz w:val="24"/>
      <w:szCs w:val="24"/>
      <w:lang w:val="en-US" w:eastAsia="zh-CN" w:bidi="ar-SA"/>
    </w:rPr>
  </w:style>
  <w:style w:type="paragraph" w:customStyle="1" w:styleId="60">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61">
    <w:name w:val="引用1"/>
    <w:basedOn w:val="1"/>
    <w:next w:val="1"/>
    <w:qFormat/>
    <w:uiPriority w:val="99"/>
    <w:pPr>
      <w:ind w:left="864" w:right="864"/>
      <w:jc w:val="center"/>
    </w:pPr>
    <w:rPr>
      <w:i/>
      <w:iCs/>
      <w:color w:val="404040"/>
      <w:szCs w:val="21"/>
    </w:rPr>
  </w:style>
  <w:style w:type="character" w:customStyle="1" w:styleId="62">
    <w:name w:val="Heading 1 Char"/>
    <w:basedOn w:val="44"/>
    <w:qFormat/>
    <w:uiPriority w:val="9"/>
    <w:rPr>
      <w:rFonts w:ascii="Arial" w:hAnsi="Arial" w:eastAsia="Arial" w:cs="Arial"/>
      <w:sz w:val="40"/>
      <w:szCs w:val="40"/>
    </w:rPr>
  </w:style>
  <w:style w:type="character" w:customStyle="1" w:styleId="63">
    <w:name w:val="Heading 2 Char"/>
    <w:basedOn w:val="44"/>
    <w:qFormat/>
    <w:uiPriority w:val="9"/>
    <w:rPr>
      <w:rFonts w:ascii="Arial" w:hAnsi="Arial" w:eastAsia="Arial" w:cs="Arial"/>
      <w:sz w:val="34"/>
    </w:rPr>
  </w:style>
  <w:style w:type="character" w:customStyle="1" w:styleId="64">
    <w:name w:val="Heading 3 Char"/>
    <w:basedOn w:val="44"/>
    <w:qFormat/>
    <w:uiPriority w:val="9"/>
    <w:rPr>
      <w:rFonts w:ascii="Arial" w:hAnsi="Arial" w:eastAsia="Arial" w:cs="Arial"/>
      <w:sz w:val="30"/>
      <w:szCs w:val="30"/>
    </w:rPr>
  </w:style>
  <w:style w:type="character" w:customStyle="1" w:styleId="65">
    <w:name w:val="Heading 4 Char"/>
    <w:basedOn w:val="44"/>
    <w:qFormat/>
    <w:uiPriority w:val="9"/>
    <w:rPr>
      <w:rFonts w:ascii="Arial" w:hAnsi="Arial" w:eastAsia="Arial" w:cs="Arial"/>
      <w:b/>
      <w:bCs/>
      <w:sz w:val="26"/>
      <w:szCs w:val="26"/>
    </w:rPr>
  </w:style>
  <w:style w:type="character" w:customStyle="1" w:styleId="66">
    <w:name w:val="Heading 5 Char"/>
    <w:basedOn w:val="44"/>
    <w:qFormat/>
    <w:uiPriority w:val="9"/>
    <w:rPr>
      <w:rFonts w:ascii="Arial" w:hAnsi="Arial" w:eastAsia="Arial" w:cs="Arial"/>
      <w:b/>
      <w:bCs/>
      <w:sz w:val="24"/>
      <w:szCs w:val="24"/>
    </w:rPr>
  </w:style>
  <w:style w:type="character" w:customStyle="1" w:styleId="67">
    <w:name w:val="Heading 6 Char"/>
    <w:basedOn w:val="44"/>
    <w:qFormat/>
    <w:uiPriority w:val="9"/>
    <w:rPr>
      <w:rFonts w:ascii="Arial" w:hAnsi="Arial" w:eastAsia="Arial" w:cs="Arial"/>
      <w:b/>
      <w:bCs/>
      <w:sz w:val="22"/>
      <w:szCs w:val="22"/>
    </w:rPr>
  </w:style>
  <w:style w:type="character" w:customStyle="1" w:styleId="68">
    <w:name w:val="Heading 7 Char"/>
    <w:basedOn w:val="44"/>
    <w:link w:val="9"/>
    <w:qFormat/>
    <w:uiPriority w:val="9"/>
    <w:rPr>
      <w:rFonts w:ascii="Arial" w:hAnsi="Arial" w:eastAsia="Arial" w:cs="Arial"/>
      <w:b/>
      <w:bCs/>
      <w:i/>
      <w:iCs/>
      <w:sz w:val="22"/>
      <w:szCs w:val="22"/>
    </w:rPr>
  </w:style>
  <w:style w:type="character" w:customStyle="1" w:styleId="69">
    <w:name w:val="Heading 8 Char"/>
    <w:basedOn w:val="44"/>
    <w:link w:val="10"/>
    <w:qFormat/>
    <w:uiPriority w:val="9"/>
    <w:rPr>
      <w:rFonts w:ascii="Arial" w:hAnsi="Arial" w:eastAsia="Arial" w:cs="Arial"/>
      <w:i/>
      <w:iCs/>
      <w:sz w:val="22"/>
      <w:szCs w:val="22"/>
    </w:rPr>
  </w:style>
  <w:style w:type="character" w:customStyle="1" w:styleId="70">
    <w:name w:val="Heading 9 Char"/>
    <w:basedOn w:val="44"/>
    <w:link w:val="11"/>
    <w:qFormat/>
    <w:uiPriority w:val="9"/>
    <w:rPr>
      <w:rFonts w:ascii="Arial" w:hAnsi="Arial" w:eastAsia="Arial" w:cs="Arial"/>
      <w:i/>
      <w:iCs/>
      <w:sz w:val="21"/>
      <w:szCs w:val="21"/>
    </w:rPr>
  </w:style>
  <w:style w:type="paragraph" w:styleId="71">
    <w:name w:val="No Spacing"/>
    <w:qFormat/>
    <w:uiPriority w:val="1"/>
    <w:pPr>
      <w:spacing w:before="0" w:after="0" w:line="240" w:lineRule="auto"/>
    </w:pPr>
    <w:rPr>
      <w:rFonts w:hint="default" w:ascii="Times New Roman" w:hAnsi="Times New Roman" w:eastAsia="宋体" w:cs="Times New Roman"/>
    </w:rPr>
  </w:style>
  <w:style w:type="character" w:customStyle="1" w:styleId="72">
    <w:name w:val="Title Char"/>
    <w:basedOn w:val="44"/>
    <w:qFormat/>
    <w:uiPriority w:val="10"/>
    <w:rPr>
      <w:sz w:val="48"/>
      <w:szCs w:val="48"/>
    </w:rPr>
  </w:style>
  <w:style w:type="character" w:customStyle="1" w:styleId="73">
    <w:name w:val="Subtitle Char"/>
    <w:basedOn w:val="44"/>
    <w:link w:val="31"/>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Quote Char"/>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7">
    <w:name w:val="Intense Quote Char"/>
    <w:link w:val="76"/>
    <w:qFormat/>
    <w:uiPriority w:val="30"/>
    <w:rPr>
      <w:i/>
    </w:rPr>
  </w:style>
  <w:style w:type="character" w:customStyle="1" w:styleId="78">
    <w:name w:val="Header Char"/>
    <w:basedOn w:val="44"/>
    <w:qFormat/>
    <w:uiPriority w:val="99"/>
  </w:style>
  <w:style w:type="character" w:customStyle="1" w:styleId="79">
    <w:name w:val="Footer Char"/>
    <w:basedOn w:val="44"/>
    <w:qFormat/>
    <w:uiPriority w:val="99"/>
  </w:style>
  <w:style w:type="character" w:customStyle="1" w:styleId="80">
    <w:name w:val="Caption Char"/>
    <w:qFormat/>
    <w:uiPriority w:val="99"/>
  </w:style>
  <w:style w:type="table" w:customStyle="1" w:styleId="81">
    <w:name w:val="Table Grid Light"/>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4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basedOn w:val="4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basedOn w:val="4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basedOn w:val="4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basedOn w:val="4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basedOn w:val="4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4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basedOn w:val="4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basedOn w:val="4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basedOn w:val="4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basedOn w:val="4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basedOn w:val="4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4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basedOn w:val="4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basedOn w:val="4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basedOn w:val="4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basedOn w:val="4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basedOn w:val="4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4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basedOn w:val="4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basedOn w:val="4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basedOn w:val="4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basedOn w:val="4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basedOn w:val="4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4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4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4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6">
    <w:name w:val="Grid Table 6 Colorful - Accent 4"/>
    <w:basedOn w:val="4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4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basedOn w:val="4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4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4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4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3">
    <w:name w:val="Grid Table 7 Colorful - Accent 4"/>
    <w:basedOn w:val="4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4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basedOn w:val="4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4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basedOn w:val="4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basedOn w:val="4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basedOn w:val="4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basedOn w:val="4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basedOn w:val="4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4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4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4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4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4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4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4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basedOn w:val="4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basedOn w:val="4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basedOn w:val="4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basedOn w:val="4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basedOn w:val="4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4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basedOn w:val="4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basedOn w:val="4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basedOn w:val="4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basedOn w:val="4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basedOn w:val="4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4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4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4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4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4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4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4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basedOn w:val="4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4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4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4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4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4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basedOn w:val="4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4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4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4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4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4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4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basedOn w:val="4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basedOn w:val="4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basedOn w:val="4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basedOn w:val="4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basedOn w:val="4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basedOn w:val="4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4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basedOn w:val="4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basedOn w:val="4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basedOn w:val="4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basedOn w:val="4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basedOn w:val="4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basedOn w:val="4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4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4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4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4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4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4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Footnote Text Char"/>
    <w:link w:val="32"/>
    <w:qFormat/>
    <w:uiPriority w:val="99"/>
    <w:rPr>
      <w:sz w:val="18"/>
    </w:rPr>
  </w:style>
  <w:style w:type="character" w:customStyle="1" w:styleId="207">
    <w:name w:val="Endnote Text Char"/>
    <w:link w:val="24"/>
    <w:qFormat/>
    <w:uiPriority w:val="99"/>
    <w:rPr>
      <w:sz w:val="20"/>
    </w:rPr>
  </w:style>
  <w:style w:type="paragraph" w:customStyle="1" w:styleId="208">
    <w:name w:val="TOC Heading"/>
    <w:unhideWhenUsed/>
    <w:qFormat/>
    <w:uiPriority w:val="39"/>
    <w:rPr>
      <w:rFonts w:hint="default" w:ascii="Times New Roman" w:hAnsi="Times New Roman" w:eastAsia="宋体" w:cs="Times New Roman"/>
    </w:rPr>
  </w:style>
  <w:style w:type="paragraph" w:customStyle="1" w:styleId="209">
    <w:name w:val="列出段落1"/>
    <w:basedOn w:val="1"/>
    <w:qFormat/>
    <w:uiPriority w:val="0"/>
    <w:pPr>
      <w:ind w:firstLine="420"/>
    </w:pPr>
    <w:rPr>
      <w:rFonts w:ascii="Calibri" w:hAnsi="Calibri"/>
    </w:rPr>
  </w:style>
  <w:style w:type="paragraph" w:customStyle="1" w:styleId="210">
    <w:name w:val="首行缩进"/>
    <w:basedOn w:val="1"/>
    <w:qFormat/>
    <w:uiPriority w:val="0"/>
    <w:pPr>
      <w:ind w:firstLine="480"/>
    </w:pPr>
    <w:rPr>
      <w:lang w:val="zh-CN"/>
    </w:rPr>
  </w:style>
  <w:style w:type="table" w:customStyle="1" w:styleId="211">
    <w:name w:val="Table Normal"/>
    <w:semiHidden/>
    <w:unhideWhenUsed/>
    <w:qFormat/>
    <w:uiPriority w:val="2"/>
    <w:tblPr>
      <w:tblCellMar>
        <w:top w:w="0" w:type="dxa"/>
        <w:left w:w="0" w:type="dxa"/>
        <w:bottom w:w="0" w:type="dxa"/>
        <w:right w:w="0" w:type="dxa"/>
      </w:tblCellMar>
    </w:tblPr>
  </w:style>
  <w:style w:type="paragraph" w:styleId="212">
    <w:name w:val="List Paragraph"/>
    <w:basedOn w:val="1"/>
    <w:qFormat/>
    <w:uiPriority w:val="1"/>
    <w:pPr>
      <w:ind w:left="760" w:firstLine="479"/>
    </w:pPr>
  </w:style>
  <w:style w:type="paragraph" w:customStyle="1" w:styleId="213">
    <w:name w:val="Table Paragraph"/>
    <w:basedOn w:val="1"/>
    <w:qFormat/>
    <w:uiPriority w:val="1"/>
  </w:style>
  <w:style w:type="paragraph" w:customStyle="1" w:styleId="214">
    <w:name w:val="WPSOffice手动目录 1"/>
    <w:qFormat/>
    <w:uiPriority w:val="0"/>
    <w:rPr>
      <w:rFonts w:hint="default" w:asciiTheme="minorHAnsi" w:hAnsiTheme="minorHAnsi" w:eastAsiaTheme="minorHAnsi" w:cstheme="minorBidi"/>
      <w:lang w:val="en-US" w:eastAsia="zh-CN" w:bidi="ar-SA"/>
    </w:rPr>
  </w:style>
  <w:style w:type="character" w:customStyle="1" w:styleId="215">
    <w:name w:val="批注文字 Char"/>
    <w:basedOn w:val="44"/>
    <w:link w:val="15"/>
    <w:qFormat/>
    <w:uiPriority w:val="0"/>
    <w:rPr>
      <w:rFonts w:ascii="宋体" w:hAnsi="宋体" w:eastAsia="宋体" w:cs="宋体"/>
      <w:sz w:val="22"/>
      <w:szCs w:val="22"/>
      <w:lang w:eastAsia="en-US"/>
    </w:rPr>
  </w:style>
  <w:style w:type="character" w:customStyle="1" w:styleId="216">
    <w:name w:val="批注主题 Char"/>
    <w:basedOn w:val="215"/>
    <w:link w:val="39"/>
    <w:qFormat/>
    <w:uiPriority w:val="0"/>
    <w:rPr>
      <w:rFonts w:ascii="宋体" w:hAnsi="宋体" w:eastAsia="宋体" w:cs="宋体"/>
      <w:b/>
      <w:bCs/>
      <w:sz w:val="22"/>
      <w:szCs w:val="22"/>
      <w:lang w:eastAsia="en-US"/>
    </w:rPr>
  </w:style>
  <w:style w:type="character" w:customStyle="1" w:styleId="217">
    <w:name w:val="批注框文本 Char"/>
    <w:basedOn w:val="44"/>
    <w:link w:val="25"/>
    <w:qFormat/>
    <w:uiPriority w:val="0"/>
    <w:rPr>
      <w:rFonts w:ascii="宋体" w:hAnsi="宋体" w:cs="宋体"/>
      <w:sz w:val="18"/>
      <w:szCs w:val="18"/>
      <w:lang w:eastAsia="en-US"/>
    </w:rPr>
  </w:style>
  <w:style w:type="character" w:customStyle="1" w:styleId="218">
    <w:name w:val="hover"/>
    <w:basedOn w:val="44"/>
    <w:qFormat/>
    <w:uiPriority w:val="0"/>
    <w:rPr>
      <w:color w:val="FFFFFF"/>
    </w:rPr>
  </w:style>
  <w:style w:type="character" w:customStyle="1" w:styleId="219">
    <w:name w:val="hover1"/>
    <w:basedOn w:val="44"/>
    <w:qFormat/>
    <w:uiPriority w:val="0"/>
    <w:rPr>
      <w:color w:val="5FB878"/>
    </w:rPr>
  </w:style>
  <w:style w:type="character" w:customStyle="1" w:styleId="220">
    <w:name w:val="hover2"/>
    <w:basedOn w:val="44"/>
    <w:qFormat/>
    <w:uiPriority w:val="0"/>
    <w:rPr>
      <w:color w:val="5FB878"/>
    </w:rPr>
  </w:style>
  <w:style w:type="character" w:customStyle="1" w:styleId="221">
    <w:name w:val="font31"/>
    <w:basedOn w:val="44"/>
    <w:qFormat/>
    <w:uiPriority w:val="0"/>
    <w:rPr>
      <w:rFonts w:ascii="宋体" w:hAnsi="宋体" w:eastAsia="宋体" w:cs="宋体"/>
      <w:color w:val="000000"/>
      <w:sz w:val="10"/>
      <w:szCs w:val="10"/>
      <w:u w:val="none"/>
    </w:rPr>
  </w:style>
  <w:style w:type="character" w:customStyle="1" w:styleId="222">
    <w:name w:val="font11"/>
    <w:basedOn w:val="44"/>
    <w:qFormat/>
    <w:uiPriority w:val="0"/>
    <w:rPr>
      <w:rFonts w:ascii="宋体" w:hAnsi="宋体" w:eastAsia="宋体" w:cs="宋体"/>
      <w:b/>
      <w:bCs/>
      <w:color w:val="000000"/>
      <w:sz w:val="10"/>
      <w:szCs w:val="10"/>
      <w:u w:val="none"/>
    </w:rPr>
  </w:style>
  <w:style w:type="character" w:customStyle="1" w:styleId="223">
    <w:name w:val="正文缩进 Char"/>
    <w:link w:val="13"/>
    <w:qFormat/>
    <w:uiPriority w:val="0"/>
    <w:rPr>
      <w:rFonts w:ascii="宋体" w:hAnsi="宋体" w:cs="宋体"/>
      <w:sz w:val="22"/>
      <w:lang w:eastAsia="en-US"/>
    </w:rPr>
  </w:style>
  <w:style w:type="paragraph" w:customStyle="1" w:styleId="224">
    <w:name w:val="普通正文"/>
    <w:basedOn w:val="1"/>
    <w:qFormat/>
    <w:uiPriority w:val="0"/>
    <w:pPr>
      <w:spacing w:before="120" w:after="120" w:line="360" w:lineRule="auto"/>
      <w:ind w:firstLine="480"/>
    </w:pPr>
    <w:rPr>
      <w:rFonts w:ascii="Arial" w:hAnsi="Arial" w:cs="Times New Roman"/>
      <w:sz w:val="24"/>
      <w:szCs w:val="24"/>
      <w:lang w:eastAsia="zh-CN"/>
    </w:rPr>
  </w:style>
  <w:style w:type="character" w:customStyle="1" w:styleId="225">
    <w:name w:val="Default Char"/>
    <w:link w:val="59"/>
    <w:qFormat/>
    <w:uiPriority w:val="99"/>
    <w:rPr>
      <w:rFonts w:ascii="仿宋_GB2312" w:eastAsia="仿宋_GB2312"/>
      <w:color w:val="000000"/>
      <w:sz w:val="24"/>
      <w:szCs w:val="24"/>
    </w:rPr>
  </w:style>
  <w:style w:type="character" w:customStyle="1" w:styleId="226">
    <w:name w:val="NormalCharacter"/>
    <w:qFormat/>
    <w:uiPriority w:val="0"/>
  </w:style>
  <w:style w:type="paragraph" w:customStyle="1" w:styleId="227">
    <w:name w:val="正文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28">
    <w:name w:val="样式 标题 3 + (中文) 黑体 小四 非加粗 段前: 7.8 磅 段后: 0 磅 行距: 固定值 20 磅"/>
    <w:basedOn w:val="5"/>
    <w:qFormat/>
    <w:uiPriority w:val="0"/>
    <w:pPr>
      <w:spacing w:before="0" w:after="0"/>
    </w:pPr>
    <w:rPr>
      <w:rFonts w:eastAsia="黑体" w:cs="宋体"/>
      <w:szCs w:val="20"/>
    </w:rPr>
  </w:style>
  <w:style w:type="paragraph" w:customStyle="1" w:styleId="229">
    <w:name w:val="UserStyle_609"/>
    <w:basedOn w:val="1"/>
    <w:qFormat/>
    <w:uiPriority w:val="0"/>
    <w:pPr>
      <w:spacing w:before="100" w:after="100"/>
      <w:ind w:left="360" w:right="360"/>
      <w:jc w:val="left"/>
    </w:pPr>
    <w:rPr>
      <w:rFonts w:ascii="Times New Roman" w:hAnsi="Times New Roman"/>
      <w:sz w:val="24"/>
      <w:szCs w:val="20"/>
    </w:rPr>
  </w:style>
  <w:style w:type="paragraph" w:customStyle="1" w:styleId="230">
    <w:name w:val="PlainText"/>
    <w:basedOn w:val="1"/>
    <w:qFormat/>
    <w:uiPriority w:val="0"/>
    <w:rPr>
      <w:rFonts w:ascii="宋体" w:hAnsi="Courier New"/>
      <w:szCs w:val="21"/>
    </w:rPr>
  </w:style>
  <w:style w:type="paragraph" w:customStyle="1" w:styleId="231">
    <w:name w:val="AnnotationText"/>
    <w:basedOn w:val="1"/>
    <w:qFormat/>
    <w:uiPriority w:val="0"/>
    <w:pPr>
      <w:jc w:val="left"/>
    </w:pPr>
  </w:style>
  <w:style w:type="paragraph" w:customStyle="1" w:styleId="232">
    <w:name w:val="BodyText"/>
    <w:basedOn w:val="1"/>
    <w:qFormat/>
    <w:uiPriority w:val="0"/>
    <w:pPr>
      <w:tabs>
        <w:tab w:val="left" w:pos="1160"/>
        <w:tab w:val="left" w:pos="2423"/>
      </w:tabs>
      <w:spacing w:line="312" w:lineRule="atLeast"/>
      <w:jc w:val="left"/>
    </w:pPr>
    <w:rPr>
      <w:szCs w:val="20"/>
    </w:rPr>
  </w:style>
  <w:style w:type="character" w:customStyle="1" w:styleId="233">
    <w:name w:val="15"/>
    <w:basedOn w:val="44"/>
    <w:qFormat/>
    <w:uiPriority w:val="0"/>
    <w:rPr>
      <w:rFonts w:hint="default" w:ascii="Times New Roman" w:hAnsi="Times New Roman" w:cs="Times New Roman"/>
    </w:rPr>
  </w:style>
  <w:style w:type="paragraph" w:customStyle="1" w:styleId="234">
    <w:name w:val="Blockquote"/>
    <w:basedOn w:val="1"/>
    <w:qFormat/>
    <w:uiPriority w:val="0"/>
    <w:pPr>
      <w:tabs>
        <w:tab w:val="center" w:pos="4393"/>
        <w:tab w:val="left" w:pos="6774"/>
      </w:tabs>
      <w:spacing w:before="100" w:after="100"/>
      <w:ind w:left="360" w:right="360"/>
    </w:pPr>
    <w:rPr>
      <w:sz w:val="24"/>
      <w:szCs w:val="20"/>
    </w:rPr>
  </w:style>
  <w:style w:type="paragraph" w:customStyle="1" w:styleId="235">
    <w:name w:val="普通(网站)1"/>
    <w:basedOn w:val="1"/>
    <w:unhideWhenUsed/>
    <w:qFormat/>
    <w:uiPriority w:val="0"/>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95</Pages>
  <Words>46514</Words>
  <Characters>48558</Characters>
  <TotalTime>21</TotalTime>
  <ScaleCrop>false</ScaleCrop>
  <LinksUpToDate>false</LinksUpToDate>
  <CharactersWithSpaces>51074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2022-05-24T02:54:00Z</dcterms:created>
  <dc:creator>pc-pc</dc:creator>
  <cp:lastModifiedBy>一米阳光</cp:lastModifiedBy>
  <cp:lastPrinted>2025-11-14T02:22:00Z</cp:lastPrinted>
  <dcterms:modified xsi:type="dcterms:W3CDTF">2025-11-28T01:16:40Z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2052-12.1.0.23542</vt:lpwstr>
  </property>
  <property fmtid="{D5CDD505-2E9C-101B-9397-08002B2CF9AE}" pid="5" name="ICV">
    <vt:lpwstr>7B476E9C430445D28EF069574D92ED15_13</vt:lpwstr>
  </property>
  <property fmtid="{D5CDD505-2E9C-101B-9397-08002B2CF9AE}" pid="6" name="KSOTemplateDocerSaveRecord">
    <vt:lpwstr>eyJoZGlkIjoiMDE2MjkxMTFmOTQyYjY2N2EyMGVhYjAyYTQzOGNlNjEiLCJ1c2VySWQiOiIxMTUzNzgzODM1In0=</vt:lpwstr>
  </property>
</Properties>
</file>